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8064" w14:textId="77777777" w:rsidR="003563EF" w:rsidRDefault="003563EF" w:rsidP="001278B6">
      <w:pPr>
        <w:pStyle w:val="a3"/>
        <w:widowControl/>
        <w:adjustRightInd w:val="0"/>
        <w:snapToGrid w:val="0"/>
        <w:rPr>
          <w:snapToGrid w:val="0"/>
          <w:lang w:val="da-DK"/>
        </w:rPr>
      </w:pPr>
    </w:p>
    <w:p w14:paraId="4D293473" w14:textId="77777777" w:rsidR="00DE491A" w:rsidRPr="001278B6" w:rsidRDefault="00DE491A" w:rsidP="001278B6">
      <w:pPr>
        <w:pStyle w:val="a3"/>
        <w:widowControl/>
        <w:adjustRightInd w:val="0"/>
        <w:snapToGrid w:val="0"/>
        <w:rPr>
          <w:snapToGrid w:val="0"/>
          <w:lang w:val="da-DK"/>
        </w:rPr>
      </w:pPr>
    </w:p>
    <w:p w14:paraId="40CDFB7D" w14:textId="77777777" w:rsidR="003563EF" w:rsidRPr="001278B6" w:rsidRDefault="003563EF" w:rsidP="001278B6">
      <w:pPr>
        <w:pStyle w:val="a3"/>
        <w:widowControl/>
        <w:adjustRightInd w:val="0"/>
        <w:snapToGrid w:val="0"/>
        <w:rPr>
          <w:snapToGrid w:val="0"/>
          <w:lang w:val="da-DK"/>
        </w:rPr>
      </w:pPr>
    </w:p>
    <w:p w14:paraId="3935D0D6" w14:textId="77777777" w:rsidR="003563EF" w:rsidRPr="001278B6" w:rsidRDefault="003563EF" w:rsidP="001278B6">
      <w:pPr>
        <w:pStyle w:val="a3"/>
        <w:widowControl/>
        <w:adjustRightInd w:val="0"/>
        <w:snapToGrid w:val="0"/>
        <w:rPr>
          <w:snapToGrid w:val="0"/>
          <w:lang w:val="da-DK"/>
        </w:rPr>
      </w:pPr>
    </w:p>
    <w:p w14:paraId="60998732" w14:textId="77777777" w:rsidR="003563EF" w:rsidRPr="001278B6" w:rsidRDefault="003563EF" w:rsidP="001278B6">
      <w:pPr>
        <w:pStyle w:val="a3"/>
        <w:widowControl/>
        <w:adjustRightInd w:val="0"/>
        <w:snapToGrid w:val="0"/>
        <w:rPr>
          <w:snapToGrid w:val="0"/>
          <w:lang w:val="da-DK"/>
        </w:rPr>
      </w:pPr>
    </w:p>
    <w:p w14:paraId="7CE460C0" w14:textId="77777777" w:rsidR="003563EF" w:rsidRPr="001278B6" w:rsidRDefault="003563EF" w:rsidP="001278B6">
      <w:pPr>
        <w:pStyle w:val="a3"/>
        <w:widowControl/>
        <w:adjustRightInd w:val="0"/>
        <w:snapToGrid w:val="0"/>
        <w:rPr>
          <w:snapToGrid w:val="0"/>
          <w:lang w:val="da-DK"/>
        </w:rPr>
      </w:pPr>
    </w:p>
    <w:p w14:paraId="6060B2EA" w14:textId="77777777" w:rsidR="003563EF" w:rsidRPr="001278B6" w:rsidRDefault="003563EF" w:rsidP="001278B6">
      <w:pPr>
        <w:pStyle w:val="a3"/>
        <w:widowControl/>
        <w:adjustRightInd w:val="0"/>
        <w:snapToGrid w:val="0"/>
        <w:rPr>
          <w:snapToGrid w:val="0"/>
          <w:lang w:val="da-DK"/>
        </w:rPr>
      </w:pPr>
    </w:p>
    <w:p w14:paraId="78BC9CF0" w14:textId="77777777" w:rsidR="003563EF" w:rsidRPr="001278B6" w:rsidRDefault="003563EF" w:rsidP="001278B6">
      <w:pPr>
        <w:pStyle w:val="a3"/>
        <w:widowControl/>
        <w:adjustRightInd w:val="0"/>
        <w:snapToGrid w:val="0"/>
        <w:rPr>
          <w:snapToGrid w:val="0"/>
          <w:lang w:val="da-DK"/>
        </w:rPr>
      </w:pPr>
    </w:p>
    <w:p w14:paraId="76DD8C89" w14:textId="77777777" w:rsidR="003563EF" w:rsidRPr="001278B6" w:rsidRDefault="003563EF" w:rsidP="001278B6">
      <w:pPr>
        <w:pStyle w:val="a3"/>
        <w:widowControl/>
        <w:adjustRightInd w:val="0"/>
        <w:snapToGrid w:val="0"/>
        <w:rPr>
          <w:snapToGrid w:val="0"/>
          <w:lang w:val="da-DK"/>
        </w:rPr>
      </w:pPr>
    </w:p>
    <w:p w14:paraId="2C654C99" w14:textId="77777777" w:rsidR="003563EF" w:rsidRPr="001278B6" w:rsidRDefault="003563EF" w:rsidP="001278B6">
      <w:pPr>
        <w:pStyle w:val="a3"/>
        <w:widowControl/>
        <w:adjustRightInd w:val="0"/>
        <w:snapToGrid w:val="0"/>
        <w:rPr>
          <w:snapToGrid w:val="0"/>
          <w:lang w:val="da-DK"/>
        </w:rPr>
      </w:pPr>
    </w:p>
    <w:p w14:paraId="4538418E" w14:textId="77777777" w:rsidR="003563EF" w:rsidRPr="001278B6" w:rsidRDefault="003563EF" w:rsidP="001278B6">
      <w:pPr>
        <w:pStyle w:val="a3"/>
        <w:widowControl/>
        <w:adjustRightInd w:val="0"/>
        <w:snapToGrid w:val="0"/>
        <w:rPr>
          <w:snapToGrid w:val="0"/>
          <w:lang w:val="da-DK"/>
        </w:rPr>
      </w:pPr>
    </w:p>
    <w:p w14:paraId="1A37B25D" w14:textId="77777777" w:rsidR="003563EF" w:rsidRPr="001278B6" w:rsidRDefault="003563EF" w:rsidP="001278B6">
      <w:pPr>
        <w:pStyle w:val="a3"/>
        <w:widowControl/>
        <w:adjustRightInd w:val="0"/>
        <w:snapToGrid w:val="0"/>
        <w:rPr>
          <w:snapToGrid w:val="0"/>
          <w:lang w:val="da-DK"/>
        </w:rPr>
      </w:pPr>
    </w:p>
    <w:p w14:paraId="65C26217" w14:textId="77777777" w:rsidR="003563EF" w:rsidRPr="001278B6" w:rsidRDefault="003563EF" w:rsidP="001278B6">
      <w:pPr>
        <w:pStyle w:val="a3"/>
        <w:widowControl/>
        <w:adjustRightInd w:val="0"/>
        <w:snapToGrid w:val="0"/>
        <w:rPr>
          <w:snapToGrid w:val="0"/>
          <w:lang w:val="da-DK"/>
        </w:rPr>
      </w:pPr>
    </w:p>
    <w:p w14:paraId="6D39F10F" w14:textId="77777777" w:rsidR="003563EF" w:rsidRPr="001278B6" w:rsidRDefault="003563EF" w:rsidP="001278B6">
      <w:pPr>
        <w:pStyle w:val="a3"/>
        <w:widowControl/>
        <w:adjustRightInd w:val="0"/>
        <w:snapToGrid w:val="0"/>
        <w:rPr>
          <w:snapToGrid w:val="0"/>
          <w:lang w:val="da-DK"/>
        </w:rPr>
      </w:pPr>
    </w:p>
    <w:p w14:paraId="62E1AB15" w14:textId="77777777" w:rsidR="003563EF" w:rsidRPr="001278B6" w:rsidRDefault="003563EF" w:rsidP="001278B6">
      <w:pPr>
        <w:pStyle w:val="a3"/>
        <w:widowControl/>
        <w:adjustRightInd w:val="0"/>
        <w:snapToGrid w:val="0"/>
        <w:rPr>
          <w:snapToGrid w:val="0"/>
          <w:lang w:val="da-DK"/>
        </w:rPr>
      </w:pPr>
    </w:p>
    <w:p w14:paraId="066D2E5B" w14:textId="77777777" w:rsidR="003563EF" w:rsidRPr="001278B6" w:rsidRDefault="003563EF" w:rsidP="001278B6">
      <w:pPr>
        <w:pStyle w:val="a3"/>
        <w:widowControl/>
        <w:adjustRightInd w:val="0"/>
        <w:snapToGrid w:val="0"/>
        <w:rPr>
          <w:snapToGrid w:val="0"/>
          <w:lang w:val="da-DK"/>
        </w:rPr>
      </w:pPr>
    </w:p>
    <w:p w14:paraId="259817DA" w14:textId="77777777" w:rsidR="003563EF" w:rsidRPr="001278B6" w:rsidRDefault="003563EF" w:rsidP="001278B6">
      <w:pPr>
        <w:pStyle w:val="a3"/>
        <w:widowControl/>
        <w:adjustRightInd w:val="0"/>
        <w:snapToGrid w:val="0"/>
        <w:rPr>
          <w:snapToGrid w:val="0"/>
          <w:lang w:val="da-DK"/>
        </w:rPr>
      </w:pPr>
    </w:p>
    <w:p w14:paraId="56D7C1E9" w14:textId="77777777" w:rsidR="003563EF" w:rsidRPr="001278B6" w:rsidRDefault="003563EF" w:rsidP="001278B6">
      <w:pPr>
        <w:pStyle w:val="a3"/>
        <w:widowControl/>
        <w:adjustRightInd w:val="0"/>
        <w:snapToGrid w:val="0"/>
        <w:rPr>
          <w:snapToGrid w:val="0"/>
          <w:lang w:val="da-DK"/>
        </w:rPr>
      </w:pPr>
    </w:p>
    <w:p w14:paraId="2E36FEEF" w14:textId="77777777" w:rsidR="003563EF" w:rsidRPr="001278B6" w:rsidRDefault="003563EF" w:rsidP="001278B6">
      <w:pPr>
        <w:pStyle w:val="a3"/>
        <w:widowControl/>
        <w:adjustRightInd w:val="0"/>
        <w:snapToGrid w:val="0"/>
        <w:rPr>
          <w:snapToGrid w:val="0"/>
          <w:lang w:val="da-DK"/>
        </w:rPr>
      </w:pPr>
    </w:p>
    <w:p w14:paraId="0EDED0E6" w14:textId="77777777" w:rsidR="003563EF" w:rsidRPr="001278B6" w:rsidRDefault="003563EF" w:rsidP="001278B6">
      <w:pPr>
        <w:pStyle w:val="a3"/>
        <w:widowControl/>
        <w:adjustRightInd w:val="0"/>
        <w:snapToGrid w:val="0"/>
        <w:rPr>
          <w:snapToGrid w:val="0"/>
          <w:lang w:val="da-DK"/>
        </w:rPr>
      </w:pPr>
    </w:p>
    <w:p w14:paraId="1500B244" w14:textId="77777777" w:rsidR="003563EF" w:rsidRPr="001278B6" w:rsidRDefault="003563EF" w:rsidP="001278B6">
      <w:pPr>
        <w:pStyle w:val="a3"/>
        <w:widowControl/>
        <w:adjustRightInd w:val="0"/>
        <w:snapToGrid w:val="0"/>
        <w:rPr>
          <w:snapToGrid w:val="0"/>
          <w:lang w:val="da-DK"/>
        </w:rPr>
      </w:pPr>
    </w:p>
    <w:p w14:paraId="56C3A2B5" w14:textId="77777777" w:rsidR="003563EF" w:rsidRPr="001278B6" w:rsidRDefault="003563EF" w:rsidP="001278B6">
      <w:pPr>
        <w:pStyle w:val="a3"/>
        <w:widowControl/>
        <w:adjustRightInd w:val="0"/>
        <w:snapToGrid w:val="0"/>
        <w:rPr>
          <w:snapToGrid w:val="0"/>
          <w:lang w:val="da-DK"/>
        </w:rPr>
      </w:pPr>
    </w:p>
    <w:p w14:paraId="57067B08" w14:textId="77777777" w:rsidR="003563EF" w:rsidRPr="001278B6" w:rsidRDefault="003563EF" w:rsidP="001278B6">
      <w:pPr>
        <w:pStyle w:val="a3"/>
        <w:widowControl/>
        <w:adjustRightInd w:val="0"/>
        <w:snapToGrid w:val="0"/>
        <w:rPr>
          <w:snapToGrid w:val="0"/>
          <w:lang w:val="da-DK"/>
        </w:rPr>
      </w:pPr>
    </w:p>
    <w:p w14:paraId="2EAACA0F" w14:textId="77777777" w:rsidR="00443566" w:rsidRPr="00747393" w:rsidRDefault="00473235" w:rsidP="00747393">
      <w:pPr>
        <w:jc w:val="center"/>
        <w:rPr>
          <w:b/>
          <w:bCs/>
          <w:snapToGrid w:val="0"/>
          <w:lang w:val="da-DK"/>
        </w:rPr>
      </w:pPr>
      <w:r w:rsidRPr="00747393">
        <w:rPr>
          <w:b/>
          <w:bCs/>
          <w:snapToGrid w:val="0"/>
          <w:lang w:val="da-DK"/>
        </w:rPr>
        <w:t>BILAG I</w:t>
      </w:r>
      <w:bookmarkStart w:id="0" w:name="PRODUKTRESUME"/>
      <w:bookmarkEnd w:id="0"/>
    </w:p>
    <w:p w14:paraId="6916675B" w14:textId="77777777" w:rsidR="00774C8D" w:rsidRDefault="00774C8D" w:rsidP="00747393">
      <w:pPr>
        <w:rPr>
          <w:snapToGrid w:val="0"/>
          <w:lang w:val="da-DK"/>
        </w:rPr>
      </w:pPr>
    </w:p>
    <w:p w14:paraId="1B87F9F5" w14:textId="77777777" w:rsidR="003C1C0B" w:rsidRDefault="00473235" w:rsidP="00051658">
      <w:pPr>
        <w:pStyle w:val="1"/>
        <w:widowControl/>
        <w:adjustRightInd w:val="0"/>
        <w:snapToGrid w:val="0"/>
        <w:jc w:val="center"/>
        <w:rPr>
          <w:snapToGrid w:val="0"/>
          <w:lang w:val="da-DK"/>
        </w:rPr>
      </w:pPr>
      <w:r w:rsidRPr="001278B6">
        <w:rPr>
          <w:snapToGrid w:val="0"/>
          <w:lang w:val="da-DK"/>
        </w:rPr>
        <w:t>PRODUKTRESUME</w:t>
      </w:r>
    </w:p>
    <w:p w14:paraId="4A8CF50F" w14:textId="4A0D5286" w:rsidR="00B16D03" w:rsidRPr="00051658" w:rsidRDefault="00515644" w:rsidP="0064561A">
      <w:pPr>
        <w:rPr>
          <w:b/>
          <w:noProof/>
          <w:lang w:val="da-DK"/>
        </w:rPr>
      </w:pPr>
      <w:r>
        <w:rPr>
          <w:snapToGrid w:val="0"/>
          <w:lang w:val="da-DK"/>
        </w:rPr>
        <w:br w:type="page"/>
      </w:r>
      <w:r w:rsidR="00752A61">
        <w:rPr>
          <w:b/>
          <w:noProof/>
          <w:lang w:val="da-DK" w:eastAsia="da-DK"/>
        </w:rPr>
        <w:lastRenderedPageBreak/>
        <w:drawing>
          <wp:inline distT="0" distB="0" distL="0" distR="0" wp14:anchorId="42E344E7" wp14:editId="26DEBD35">
            <wp:extent cx="190500" cy="15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r w:rsidR="00B16D03" w:rsidRPr="00051658">
        <w:rPr>
          <w:noProof/>
          <w:lang w:val="da-DK"/>
        </w:rPr>
        <w:t>Dette lægemiddel er underlagt supplerende overvågning. Dermed kan nye sikkerhedsoplysninger hurtigt tilvejebringes. Sundhedspersoner anmodes om at indberette alle formodede bivirkninger. Se i pkt. 4.8, hvordan bivirkninger indberettes</w:t>
      </w:r>
      <w:r w:rsidR="002070BA" w:rsidRPr="00051658">
        <w:rPr>
          <w:noProof/>
          <w:lang w:val="da-DK"/>
        </w:rPr>
        <w:t>.</w:t>
      </w:r>
    </w:p>
    <w:p w14:paraId="1CA21E1D" w14:textId="77777777" w:rsidR="00B16D03" w:rsidRDefault="00B16D03" w:rsidP="00747393">
      <w:pPr>
        <w:rPr>
          <w:b/>
          <w:snapToGrid w:val="0"/>
          <w:lang w:val="da-DK"/>
        </w:rPr>
      </w:pPr>
    </w:p>
    <w:p w14:paraId="1269F3F6" w14:textId="77777777" w:rsidR="003C1C0B" w:rsidRPr="00051658" w:rsidRDefault="003C1C0B" w:rsidP="00747393">
      <w:pPr>
        <w:rPr>
          <w:b/>
          <w:snapToGrid w:val="0"/>
          <w:lang w:val="da-DK"/>
        </w:rPr>
      </w:pPr>
    </w:p>
    <w:p w14:paraId="05C0EB67" w14:textId="77777777" w:rsidR="003563EF" w:rsidRPr="001278B6" w:rsidRDefault="00473235" w:rsidP="001278B6">
      <w:pPr>
        <w:pStyle w:val="1"/>
        <w:widowControl/>
        <w:numPr>
          <w:ilvl w:val="0"/>
          <w:numId w:val="17"/>
        </w:numPr>
        <w:adjustRightInd w:val="0"/>
        <w:snapToGrid w:val="0"/>
        <w:ind w:left="562" w:hanging="562"/>
        <w:rPr>
          <w:b w:val="0"/>
          <w:snapToGrid w:val="0"/>
          <w:lang w:val="da-DK"/>
        </w:rPr>
      </w:pPr>
      <w:r w:rsidRPr="001278B6">
        <w:rPr>
          <w:snapToGrid w:val="0"/>
          <w:lang w:val="da-DK"/>
        </w:rPr>
        <w:t>LÆGEMIDLETS NAVN</w:t>
      </w:r>
    </w:p>
    <w:p w14:paraId="55138963" w14:textId="77777777" w:rsidR="003563EF" w:rsidRPr="001278B6" w:rsidRDefault="003563EF" w:rsidP="001278B6">
      <w:pPr>
        <w:pStyle w:val="a3"/>
        <w:widowControl/>
        <w:adjustRightInd w:val="0"/>
        <w:snapToGrid w:val="0"/>
        <w:rPr>
          <w:b/>
          <w:snapToGrid w:val="0"/>
          <w:lang w:val="da-DK"/>
        </w:rPr>
      </w:pPr>
    </w:p>
    <w:p w14:paraId="698A72EE" w14:textId="47712C4A" w:rsidR="003563EF" w:rsidRPr="00941A05" w:rsidRDefault="00295FBB" w:rsidP="001278B6">
      <w:pPr>
        <w:pStyle w:val="a3"/>
        <w:widowControl/>
        <w:adjustRightInd w:val="0"/>
        <w:snapToGrid w:val="0"/>
        <w:rPr>
          <w:rFonts w:eastAsia="맑은 고딕"/>
          <w:snapToGrid w:val="0"/>
          <w:lang w:val="da-DK" w:eastAsia="ko-KR"/>
        </w:rPr>
      </w:pPr>
      <w:r>
        <w:rPr>
          <w:snapToGrid w:val="0"/>
          <w:lang w:val="da-DK"/>
        </w:rPr>
        <w:t>Vegzelma</w:t>
      </w:r>
      <w:r w:rsidR="00473235" w:rsidRPr="001278B6">
        <w:rPr>
          <w:snapToGrid w:val="0"/>
          <w:lang w:val="da-DK"/>
        </w:rPr>
        <w:t xml:space="preserve"> 25</w:t>
      </w:r>
      <w:r w:rsidR="003E5CE2">
        <w:rPr>
          <w:snapToGrid w:val="0"/>
          <w:lang w:val="da-DK"/>
        </w:rPr>
        <w:t xml:space="preserve"> </w:t>
      </w:r>
      <w:r w:rsidR="00C81F25">
        <w:rPr>
          <w:snapToGrid w:val="0"/>
          <w:lang w:val="da-DK"/>
        </w:rPr>
        <w:t>mg</w:t>
      </w:r>
      <w:r w:rsidR="00473235" w:rsidRPr="001278B6">
        <w:rPr>
          <w:snapToGrid w:val="0"/>
          <w:lang w:val="da-DK"/>
        </w:rPr>
        <w:t>/ml koncentrat til infusionsvæske, opløsning</w:t>
      </w:r>
      <w:r w:rsidR="00941A05">
        <w:rPr>
          <w:rFonts w:eastAsia="맑은 고딕" w:hint="eastAsia"/>
          <w:snapToGrid w:val="0"/>
          <w:lang w:val="da-DK" w:eastAsia="ko-KR"/>
        </w:rPr>
        <w:t>.</w:t>
      </w:r>
    </w:p>
    <w:p w14:paraId="7F67F7BD" w14:textId="77777777" w:rsidR="003563EF" w:rsidRPr="001278B6" w:rsidRDefault="003563EF" w:rsidP="001278B6">
      <w:pPr>
        <w:pStyle w:val="a3"/>
        <w:widowControl/>
        <w:adjustRightInd w:val="0"/>
        <w:snapToGrid w:val="0"/>
        <w:rPr>
          <w:snapToGrid w:val="0"/>
          <w:lang w:val="da-DK"/>
        </w:rPr>
      </w:pPr>
    </w:p>
    <w:p w14:paraId="52980159" w14:textId="77777777" w:rsidR="003563EF" w:rsidRPr="001278B6" w:rsidRDefault="003563EF" w:rsidP="001278B6">
      <w:pPr>
        <w:pStyle w:val="a3"/>
        <w:widowControl/>
        <w:adjustRightInd w:val="0"/>
        <w:snapToGrid w:val="0"/>
        <w:rPr>
          <w:snapToGrid w:val="0"/>
          <w:lang w:val="da-DK"/>
        </w:rPr>
      </w:pPr>
    </w:p>
    <w:p w14:paraId="2C789E8E" w14:textId="77777777" w:rsidR="003563EF" w:rsidRPr="001278B6" w:rsidRDefault="00473235" w:rsidP="001278B6">
      <w:pPr>
        <w:pStyle w:val="1"/>
        <w:widowControl/>
        <w:numPr>
          <w:ilvl w:val="0"/>
          <w:numId w:val="17"/>
        </w:numPr>
        <w:adjustRightInd w:val="0"/>
        <w:snapToGrid w:val="0"/>
        <w:ind w:left="562" w:hanging="562"/>
        <w:rPr>
          <w:snapToGrid w:val="0"/>
          <w:lang w:val="da-DK"/>
        </w:rPr>
      </w:pPr>
      <w:r w:rsidRPr="001278B6">
        <w:rPr>
          <w:snapToGrid w:val="0"/>
          <w:lang w:val="da-DK"/>
        </w:rPr>
        <w:t>KVALITATIV OG KVANTITATIV SAMMENSÆTNING</w:t>
      </w:r>
    </w:p>
    <w:p w14:paraId="2A6784A7" w14:textId="77777777" w:rsidR="003563EF" w:rsidRPr="001278B6" w:rsidRDefault="003563EF" w:rsidP="001278B6">
      <w:pPr>
        <w:pStyle w:val="a3"/>
        <w:widowControl/>
        <w:adjustRightInd w:val="0"/>
        <w:snapToGrid w:val="0"/>
        <w:rPr>
          <w:b/>
          <w:snapToGrid w:val="0"/>
          <w:lang w:val="da-DK"/>
        </w:rPr>
      </w:pPr>
    </w:p>
    <w:p w14:paraId="6058D70E" w14:textId="4A84335C" w:rsidR="00AA5542" w:rsidRDefault="00473235">
      <w:pPr>
        <w:pStyle w:val="a3"/>
        <w:widowControl/>
        <w:adjustRightInd w:val="0"/>
        <w:snapToGrid w:val="0"/>
        <w:rPr>
          <w:snapToGrid w:val="0"/>
          <w:lang w:val="da-DK"/>
        </w:rPr>
      </w:pPr>
      <w:r w:rsidRPr="001278B6">
        <w:rPr>
          <w:snapToGrid w:val="0"/>
          <w:lang w:val="da-DK"/>
        </w:rPr>
        <w:t>1 ml koncentrat indeholder 25</w:t>
      </w:r>
      <w:r w:rsidR="003E5CE2">
        <w:rPr>
          <w:snapToGrid w:val="0"/>
          <w:lang w:val="da-DK"/>
        </w:rPr>
        <w:t xml:space="preserve"> </w:t>
      </w:r>
      <w:r w:rsidR="00C81F25">
        <w:rPr>
          <w:snapToGrid w:val="0"/>
          <w:lang w:val="da-DK"/>
        </w:rPr>
        <w:t>mg</w:t>
      </w:r>
      <w:r w:rsidRPr="001278B6">
        <w:rPr>
          <w:snapToGrid w:val="0"/>
          <w:lang w:val="da-DK"/>
        </w:rPr>
        <w:t xml:space="preserve"> bevacizumab*.</w:t>
      </w:r>
    </w:p>
    <w:p w14:paraId="4B3F0C80" w14:textId="0F6C2965" w:rsidR="003563EF" w:rsidRPr="001278B6" w:rsidRDefault="00473235" w:rsidP="001278B6">
      <w:pPr>
        <w:pStyle w:val="a3"/>
        <w:widowControl/>
        <w:adjustRightInd w:val="0"/>
        <w:snapToGrid w:val="0"/>
        <w:rPr>
          <w:snapToGrid w:val="0"/>
          <w:lang w:val="da-DK"/>
        </w:rPr>
      </w:pPr>
      <w:r w:rsidRPr="001278B6">
        <w:rPr>
          <w:snapToGrid w:val="0"/>
          <w:lang w:val="da-DK"/>
        </w:rPr>
        <w:t>Hvert 4 ml hætteglas indeholder 100</w:t>
      </w:r>
      <w:r w:rsidR="003E5CE2">
        <w:rPr>
          <w:snapToGrid w:val="0"/>
          <w:lang w:val="da-DK"/>
        </w:rPr>
        <w:t xml:space="preserve"> </w:t>
      </w:r>
      <w:r w:rsidR="00C81F25">
        <w:rPr>
          <w:snapToGrid w:val="0"/>
          <w:lang w:val="da-DK"/>
        </w:rPr>
        <w:t>mg</w:t>
      </w:r>
      <w:r w:rsidRPr="001278B6">
        <w:rPr>
          <w:snapToGrid w:val="0"/>
          <w:lang w:val="da-DK"/>
        </w:rPr>
        <w:t xml:space="preserve"> bevacizumab.</w:t>
      </w:r>
    </w:p>
    <w:p w14:paraId="4CCF713A" w14:textId="25AED511" w:rsidR="003563EF" w:rsidRPr="001278B6" w:rsidRDefault="00473235" w:rsidP="001278B6">
      <w:pPr>
        <w:pStyle w:val="a3"/>
        <w:widowControl/>
        <w:adjustRightInd w:val="0"/>
        <w:snapToGrid w:val="0"/>
        <w:rPr>
          <w:snapToGrid w:val="0"/>
          <w:lang w:val="da-DK"/>
        </w:rPr>
      </w:pPr>
      <w:r w:rsidRPr="001278B6">
        <w:rPr>
          <w:snapToGrid w:val="0"/>
          <w:lang w:val="da-DK"/>
        </w:rPr>
        <w:t>Hvert 16 ml hætteglas indeholder 400</w:t>
      </w:r>
      <w:r w:rsidR="003E5CE2">
        <w:rPr>
          <w:snapToGrid w:val="0"/>
          <w:lang w:val="da-DK"/>
        </w:rPr>
        <w:t xml:space="preserve"> </w:t>
      </w:r>
      <w:r w:rsidR="00C81F25">
        <w:rPr>
          <w:snapToGrid w:val="0"/>
          <w:lang w:val="da-DK"/>
        </w:rPr>
        <w:t>mg</w:t>
      </w:r>
      <w:r w:rsidRPr="001278B6">
        <w:rPr>
          <w:snapToGrid w:val="0"/>
          <w:lang w:val="da-DK"/>
        </w:rPr>
        <w:t xml:space="preserve"> bevacizumab.</w:t>
      </w:r>
    </w:p>
    <w:p w14:paraId="4D379908"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Se pkt. 6.6. for anbefaling om </w:t>
      </w:r>
      <w:r w:rsidRPr="003C63FB">
        <w:rPr>
          <w:snapToGrid w:val="0"/>
          <w:lang w:val="da-DK"/>
        </w:rPr>
        <w:t>fortynding</w:t>
      </w:r>
      <w:r w:rsidRPr="001278B6">
        <w:rPr>
          <w:snapToGrid w:val="0"/>
          <w:lang w:val="da-DK"/>
        </w:rPr>
        <w:t xml:space="preserve"> og anden håndtering.</w:t>
      </w:r>
    </w:p>
    <w:p w14:paraId="68F6B560" w14:textId="77777777" w:rsidR="003563EF" w:rsidRPr="001278B6" w:rsidRDefault="003563EF" w:rsidP="001278B6">
      <w:pPr>
        <w:pStyle w:val="a3"/>
        <w:widowControl/>
        <w:adjustRightInd w:val="0"/>
        <w:snapToGrid w:val="0"/>
        <w:rPr>
          <w:snapToGrid w:val="0"/>
          <w:lang w:val="da-DK"/>
        </w:rPr>
      </w:pPr>
    </w:p>
    <w:p w14:paraId="5B990C2C"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 er et rekombinant humaniseret monoklonalt antistof, som fremstilles ved DNA</w:t>
      </w:r>
      <w:r w:rsidR="004B3750">
        <w:rPr>
          <w:snapToGrid w:val="0"/>
          <w:lang w:val="da-DK"/>
        </w:rPr>
        <w:noBreakHyphen/>
      </w:r>
      <w:r w:rsidRPr="001278B6">
        <w:rPr>
          <w:snapToGrid w:val="0"/>
          <w:lang w:val="da-DK"/>
        </w:rPr>
        <w:t>teknologi i ovarieceller fra kinesiske hamster.</w:t>
      </w:r>
    </w:p>
    <w:p w14:paraId="1974EE32" w14:textId="77777777" w:rsidR="003563EF" w:rsidRPr="001278B6" w:rsidRDefault="003563EF" w:rsidP="001278B6">
      <w:pPr>
        <w:pStyle w:val="a3"/>
        <w:widowControl/>
        <w:adjustRightInd w:val="0"/>
        <w:snapToGrid w:val="0"/>
        <w:rPr>
          <w:snapToGrid w:val="0"/>
          <w:lang w:val="da-DK"/>
        </w:rPr>
      </w:pPr>
    </w:p>
    <w:p w14:paraId="6EBAE117" w14:textId="77777777" w:rsidR="00AD1672" w:rsidRPr="00412CCD" w:rsidRDefault="00AD1672" w:rsidP="00AD1672">
      <w:pPr>
        <w:pStyle w:val="a3"/>
        <w:widowControl/>
        <w:adjustRightInd w:val="0"/>
        <w:snapToGrid w:val="0"/>
        <w:rPr>
          <w:snapToGrid w:val="0"/>
          <w:u w:val="single"/>
          <w:lang w:val="da-DK"/>
        </w:rPr>
      </w:pPr>
      <w:r w:rsidRPr="00412CCD">
        <w:rPr>
          <w:snapToGrid w:val="0"/>
          <w:u w:val="single"/>
          <w:lang w:val="da-DK"/>
        </w:rPr>
        <w:t>Hjælpestof(fer), som behandleren skal være opmærksom på</w:t>
      </w:r>
    </w:p>
    <w:p w14:paraId="1BB6F2CF" w14:textId="664BDC5F" w:rsidR="00AD1672" w:rsidRPr="001278B6" w:rsidRDefault="00AD1672" w:rsidP="00AD1672">
      <w:pPr>
        <w:pStyle w:val="a3"/>
        <w:widowControl/>
        <w:adjustRightInd w:val="0"/>
        <w:snapToGrid w:val="0"/>
        <w:rPr>
          <w:snapToGrid w:val="0"/>
          <w:lang w:val="da-DK"/>
        </w:rPr>
      </w:pPr>
      <w:r w:rsidRPr="001278B6">
        <w:rPr>
          <w:snapToGrid w:val="0"/>
          <w:lang w:val="da-DK"/>
        </w:rPr>
        <w:t xml:space="preserve">Hvert 4 ml hætteglas indeholder </w:t>
      </w:r>
      <w:r w:rsidR="00747057">
        <w:rPr>
          <w:rFonts w:eastAsia="맑은 고딕" w:hint="eastAsia"/>
          <w:snapToGrid w:val="0"/>
          <w:lang w:val="da-DK" w:eastAsia="ko-KR"/>
        </w:rPr>
        <w:t>1</w:t>
      </w:r>
      <w:r w:rsidR="001F1746">
        <w:rPr>
          <w:rFonts w:eastAsia="맑은 고딕" w:hint="eastAsia"/>
          <w:snapToGrid w:val="0"/>
          <w:lang w:val="da-DK" w:eastAsia="ko-KR"/>
        </w:rPr>
        <w:t>,</w:t>
      </w:r>
      <w:r w:rsidR="00747057">
        <w:rPr>
          <w:rFonts w:eastAsia="맑은 고딕" w:hint="eastAsia"/>
          <w:snapToGrid w:val="0"/>
          <w:lang w:val="da-DK" w:eastAsia="ko-KR"/>
        </w:rPr>
        <w:t>6 mg</w:t>
      </w:r>
      <w:r w:rsidRPr="001278B6">
        <w:rPr>
          <w:snapToGrid w:val="0"/>
          <w:lang w:val="da-DK"/>
        </w:rPr>
        <w:t xml:space="preserve"> </w:t>
      </w:r>
      <w:r w:rsidR="00747057" w:rsidRPr="00AD1672">
        <w:rPr>
          <w:snapToGrid w:val="0"/>
          <w:lang w:val="da-DK"/>
        </w:rPr>
        <w:t>polysorbat</w:t>
      </w:r>
      <w:r w:rsidR="00747057">
        <w:rPr>
          <w:rFonts w:eastAsia="맑은 고딕" w:hint="eastAsia"/>
          <w:snapToGrid w:val="0"/>
          <w:lang w:val="da-DK" w:eastAsia="ko-KR"/>
        </w:rPr>
        <w:t xml:space="preserve"> 20</w:t>
      </w:r>
      <w:r w:rsidRPr="001278B6">
        <w:rPr>
          <w:snapToGrid w:val="0"/>
          <w:lang w:val="da-DK"/>
        </w:rPr>
        <w:t>.</w:t>
      </w:r>
    </w:p>
    <w:p w14:paraId="548DB123" w14:textId="5E15F830" w:rsidR="00AD1672" w:rsidRPr="001278B6" w:rsidRDefault="00AD1672" w:rsidP="00AD1672">
      <w:pPr>
        <w:pStyle w:val="a3"/>
        <w:widowControl/>
        <w:adjustRightInd w:val="0"/>
        <w:snapToGrid w:val="0"/>
        <w:rPr>
          <w:snapToGrid w:val="0"/>
          <w:lang w:val="da-DK"/>
        </w:rPr>
      </w:pPr>
      <w:r w:rsidRPr="001278B6">
        <w:rPr>
          <w:snapToGrid w:val="0"/>
          <w:lang w:val="da-DK"/>
        </w:rPr>
        <w:t xml:space="preserve">Hvert 16 ml hætteglas indeholder </w:t>
      </w:r>
      <w:r w:rsidR="00747057">
        <w:rPr>
          <w:rFonts w:eastAsia="맑은 고딕" w:hint="eastAsia"/>
          <w:snapToGrid w:val="0"/>
          <w:lang w:val="da-DK" w:eastAsia="ko-KR"/>
        </w:rPr>
        <w:t>6</w:t>
      </w:r>
      <w:r w:rsidR="001F1746">
        <w:rPr>
          <w:rFonts w:eastAsia="맑은 고딕" w:hint="eastAsia"/>
          <w:snapToGrid w:val="0"/>
          <w:lang w:val="da-DK" w:eastAsia="ko-KR"/>
        </w:rPr>
        <w:t>,</w:t>
      </w:r>
      <w:r w:rsidR="00747057">
        <w:rPr>
          <w:rFonts w:eastAsia="맑은 고딕" w:hint="eastAsia"/>
          <w:snapToGrid w:val="0"/>
          <w:lang w:val="da-DK" w:eastAsia="ko-KR"/>
        </w:rPr>
        <w:t xml:space="preserve">4 </w:t>
      </w:r>
      <w:r>
        <w:rPr>
          <w:snapToGrid w:val="0"/>
          <w:lang w:val="da-DK"/>
        </w:rPr>
        <w:t>mg</w:t>
      </w:r>
      <w:r w:rsidRPr="001278B6">
        <w:rPr>
          <w:snapToGrid w:val="0"/>
          <w:lang w:val="da-DK"/>
        </w:rPr>
        <w:t xml:space="preserve"> </w:t>
      </w:r>
      <w:r w:rsidR="00747057" w:rsidRPr="00AD1672">
        <w:rPr>
          <w:snapToGrid w:val="0"/>
          <w:lang w:val="da-DK"/>
        </w:rPr>
        <w:t>polysorbat</w:t>
      </w:r>
      <w:r w:rsidR="00747057">
        <w:rPr>
          <w:rFonts w:eastAsia="맑은 고딕" w:hint="eastAsia"/>
          <w:snapToGrid w:val="0"/>
          <w:lang w:val="da-DK" w:eastAsia="ko-KR"/>
        </w:rPr>
        <w:t xml:space="preserve"> 20</w:t>
      </w:r>
      <w:r w:rsidRPr="001278B6">
        <w:rPr>
          <w:snapToGrid w:val="0"/>
          <w:lang w:val="da-DK"/>
        </w:rPr>
        <w:t>.</w:t>
      </w:r>
    </w:p>
    <w:p w14:paraId="560D22C6" w14:textId="77777777" w:rsidR="00AD1672" w:rsidRDefault="00AD1672" w:rsidP="00AD1672">
      <w:pPr>
        <w:pStyle w:val="a3"/>
        <w:widowControl/>
        <w:adjustRightInd w:val="0"/>
        <w:snapToGrid w:val="0"/>
        <w:rPr>
          <w:rFonts w:eastAsia="맑은 고딕"/>
          <w:snapToGrid w:val="0"/>
          <w:lang w:val="da-DK" w:eastAsia="ko-KR"/>
        </w:rPr>
      </w:pPr>
    </w:p>
    <w:p w14:paraId="35E2B175" w14:textId="0B083CB2" w:rsidR="003563EF" w:rsidRPr="001278B6" w:rsidRDefault="00473235" w:rsidP="00AD1672">
      <w:pPr>
        <w:pStyle w:val="a3"/>
        <w:widowControl/>
        <w:adjustRightInd w:val="0"/>
        <w:snapToGrid w:val="0"/>
        <w:rPr>
          <w:snapToGrid w:val="0"/>
          <w:lang w:val="da-DK"/>
        </w:rPr>
      </w:pPr>
      <w:r w:rsidRPr="001278B6">
        <w:rPr>
          <w:snapToGrid w:val="0"/>
          <w:lang w:val="da-DK"/>
        </w:rPr>
        <w:t>Alle hjælpestoffer er anført under pkt. 6.1.</w:t>
      </w:r>
    </w:p>
    <w:p w14:paraId="54BE9F4F" w14:textId="77777777" w:rsidR="003563EF" w:rsidRPr="001278B6" w:rsidRDefault="003563EF" w:rsidP="001278B6">
      <w:pPr>
        <w:pStyle w:val="a3"/>
        <w:widowControl/>
        <w:adjustRightInd w:val="0"/>
        <w:snapToGrid w:val="0"/>
        <w:rPr>
          <w:snapToGrid w:val="0"/>
          <w:lang w:val="da-DK"/>
        </w:rPr>
      </w:pPr>
    </w:p>
    <w:p w14:paraId="2FF27051" w14:textId="77777777" w:rsidR="003563EF" w:rsidRPr="001278B6" w:rsidRDefault="003563EF" w:rsidP="001278B6">
      <w:pPr>
        <w:pStyle w:val="a3"/>
        <w:widowControl/>
        <w:adjustRightInd w:val="0"/>
        <w:snapToGrid w:val="0"/>
        <w:rPr>
          <w:snapToGrid w:val="0"/>
          <w:lang w:val="da-DK"/>
        </w:rPr>
      </w:pPr>
    </w:p>
    <w:p w14:paraId="02CBAC5F" w14:textId="77777777" w:rsidR="003563EF" w:rsidRPr="001278B6" w:rsidRDefault="00473235" w:rsidP="001278B6">
      <w:pPr>
        <w:pStyle w:val="1"/>
        <w:widowControl/>
        <w:numPr>
          <w:ilvl w:val="0"/>
          <w:numId w:val="17"/>
        </w:numPr>
        <w:adjustRightInd w:val="0"/>
        <w:snapToGrid w:val="0"/>
        <w:ind w:left="562" w:hanging="562"/>
        <w:rPr>
          <w:snapToGrid w:val="0"/>
          <w:lang w:val="da-DK"/>
        </w:rPr>
      </w:pPr>
      <w:r w:rsidRPr="001278B6">
        <w:rPr>
          <w:snapToGrid w:val="0"/>
          <w:lang w:val="da-DK"/>
        </w:rPr>
        <w:t>LÆGEMIDDELFORM</w:t>
      </w:r>
    </w:p>
    <w:p w14:paraId="5AA05CED" w14:textId="77777777" w:rsidR="003563EF" w:rsidRPr="001278B6" w:rsidRDefault="003563EF" w:rsidP="001278B6">
      <w:pPr>
        <w:pStyle w:val="a3"/>
        <w:widowControl/>
        <w:adjustRightInd w:val="0"/>
        <w:snapToGrid w:val="0"/>
        <w:rPr>
          <w:b/>
          <w:snapToGrid w:val="0"/>
          <w:lang w:val="da-DK"/>
        </w:rPr>
      </w:pPr>
    </w:p>
    <w:p w14:paraId="5519D494" w14:textId="77777777" w:rsidR="003563EF" w:rsidRPr="001278B6" w:rsidRDefault="00473235" w:rsidP="001278B6">
      <w:pPr>
        <w:pStyle w:val="a3"/>
        <w:widowControl/>
        <w:adjustRightInd w:val="0"/>
        <w:snapToGrid w:val="0"/>
        <w:rPr>
          <w:snapToGrid w:val="0"/>
          <w:lang w:val="da-DK"/>
        </w:rPr>
      </w:pPr>
      <w:r w:rsidRPr="001278B6">
        <w:rPr>
          <w:snapToGrid w:val="0"/>
          <w:lang w:val="da-DK"/>
        </w:rPr>
        <w:t>Koncentrat til infusionsvæske, opløsning.</w:t>
      </w:r>
    </w:p>
    <w:p w14:paraId="5AFD127F" w14:textId="77777777" w:rsidR="003563EF" w:rsidRPr="001278B6" w:rsidRDefault="003563EF" w:rsidP="001278B6">
      <w:pPr>
        <w:pStyle w:val="a3"/>
        <w:widowControl/>
        <w:adjustRightInd w:val="0"/>
        <w:snapToGrid w:val="0"/>
        <w:rPr>
          <w:snapToGrid w:val="0"/>
          <w:lang w:val="da-DK"/>
        </w:rPr>
      </w:pPr>
    </w:p>
    <w:p w14:paraId="39BB7F15" w14:textId="77777777" w:rsidR="003563EF" w:rsidRPr="001278B6" w:rsidRDefault="00473235" w:rsidP="001278B6">
      <w:pPr>
        <w:pStyle w:val="a3"/>
        <w:widowControl/>
        <w:adjustRightInd w:val="0"/>
        <w:snapToGrid w:val="0"/>
        <w:rPr>
          <w:snapToGrid w:val="0"/>
          <w:lang w:val="da-DK"/>
        </w:rPr>
      </w:pPr>
      <w:r w:rsidRPr="001278B6">
        <w:rPr>
          <w:snapToGrid w:val="0"/>
          <w:lang w:val="da-DK"/>
        </w:rPr>
        <w:t>Klar til let opaliserende, farveløs til lysebrun væske.</w:t>
      </w:r>
    </w:p>
    <w:p w14:paraId="69072683" w14:textId="77777777" w:rsidR="003563EF" w:rsidRPr="001278B6" w:rsidRDefault="003563EF" w:rsidP="001278B6">
      <w:pPr>
        <w:pStyle w:val="a3"/>
        <w:widowControl/>
        <w:adjustRightInd w:val="0"/>
        <w:snapToGrid w:val="0"/>
        <w:rPr>
          <w:snapToGrid w:val="0"/>
          <w:lang w:val="da-DK"/>
        </w:rPr>
      </w:pPr>
    </w:p>
    <w:p w14:paraId="525D6048" w14:textId="77777777" w:rsidR="003563EF" w:rsidRPr="001278B6" w:rsidRDefault="003563EF" w:rsidP="001278B6">
      <w:pPr>
        <w:pStyle w:val="a3"/>
        <w:widowControl/>
        <w:adjustRightInd w:val="0"/>
        <w:snapToGrid w:val="0"/>
        <w:rPr>
          <w:snapToGrid w:val="0"/>
          <w:lang w:val="da-DK"/>
        </w:rPr>
      </w:pPr>
    </w:p>
    <w:p w14:paraId="63438B30" w14:textId="77777777" w:rsidR="003563EF" w:rsidRPr="001278B6" w:rsidRDefault="00473235" w:rsidP="001278B6">
      <w:pPr>
        <w:pStyle w:val="1"/>
        <w:widowControl/>
        <w:numPr>
          <w:ilvl w:val="0"/>
          <w:numId w:val="17"/>
        </w:numPr>
        <w:adjustRightInd w:val="0"/>
        <w:snapToGrid w:val="0"/>
        <w:ind w:left="562" w:hanging="562"/>
        <w:rPr>
          <w:snapToGrid w:val="0"/>
          <w:lang w:val="da-DK"/>
        </w:rPr>
      </w:pPr>
      <w:r w:rsidRPr="001278B6">
        <w:rPr>
          <w:snapToGrid w:val="0"/>
          <w:lang w:val="da-DK"/>
        </w:rPr>
        <w:t>KLINISKE OPLYSNINGER</w:t>
      </w:r>
    </w:p>
    <w:p w14:paraId="313F92E5" w14:textId="77777777" w:rsidR="003563EF" w:rsidRPr="001278B6" w:rsidRDefault="003563EF" w:rsidP="001278B6">
      <w:pPr>
        <w:pStyle w:val="a3"/>
        <w:widowControl/>
        <w:adjustRightInd w:val="0"/>
        <w:snapToGrid w:val="0"/>
        <w:rPr>
          <w:b/>
          <w:snapToGrid w:val="0"/>
          <w:lang w:val="da-DK"/>
        </w:rPr>
      </w:pPr>
    </w:p>
    <w:p w14:paraId="6EF32897" w14:textId="77777777" w:rsidR="003563EF" w:rsidRPr="001278B6" w:rsidRDefault="00473235" w:rsidP="001278B6">
      <w:pPr>
        <w:pStyle w:val="2"/>
        <w:widowControl/>
        <w:numPr>
          <w:ilvl w:val="1"/>
          <w:numId w:val="17"/>
        </w:numPr>
        <w:adjustRightInd w:val="0"/>
        <w:snapToGrid w:val="0"/>
        <w:ind w:left="562" w:hanging="562"/>
        <w:rPr>
          <w:snapToGrid w:val="0"/>
          <w:lang w:val="da-DK"/>
        </w:rPr>
      </w:pPr>
      <w:r w:rsidRPr="001278B6">
        <w:rPr>
          <w:snapToGrid w:val="0"/>
          <w:lang w:val="da-DK"/>
        </w:rPr>
        <w:t>Terapeutiske indikationer</w:t>
      </w:r>
    </w:p>
    <w:p w14:paraId="01691B0D" w14:textId="77777777" w:rsidR="003563EF" w:rsidRPr="001278B6" w:rsidRDefault="003563EF" w:rsidP="001278B6">
      <w:pPr>
        <w:pStyle w:val="a3"/>
        <w:widowControl/>
        <w:adjustRightInd w:val="0"/>
        <w:snapToGrid w:val="0"/>
        <w:rPr>
          <w:b/>
          <w:snapToGrid w:val="0"/>
          <w:lang w:val="da-DK"/>
        </w:rPr>
      </w:pPr>
    </w:p>
    <w:p w14:paraId="383F6E4E" w14:textId="6FC10D1F"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kemoterapi baseret på fluoropyrimidin, indiceret til behandling af voksne patienter med metastatisk karcinom i colon eller rectum.</w:t>
      </w:r>
    </w:p>
    <w:p w14:paraId="74778318" w14:textId="77777777" w:rsidR="003563EF" w:rsidRPr="001278B6" w:rsidRDefault="003563EF" w:rsidP="001278B6">
      <w:pPr>
        <w:pStyle w:val="a3"/>
        <w:widowControl/>
        <w:adjustRightInd w:val="0"/>
        <w:snapToGrid w:val="0"/>
        <w:rPr>
          <w:snapToGrid w:val="0"/>
          <w:lang w:val="da-DK"/>
        </w:rPr>
      </w:pPr>
    </w:p>
    <w:p w14:paraId="27ED3671" w14:textId="5C214955"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er, i kombination med paclitaxel, indiceret til 1.</w:t>
      </w:r>
      <w:r w:rsidR="004B3750">
        <w:rPr>
          <w:snapToGrid w:val="0"/>
          <w:lang w:val="da-DK"/>
        </w:rPr>
        <w:noBreakHyphen/>
      </w:r>
      <w:r w:rsidR="00473235" w:rsidRPr="001278B6">
        <w:rPr>
          <w:snapToGrid w:val="0"/>
          <w:lang w:val="da-DK"/>
        </w:rPr>
        <w:t>linjebehandling af voksne patienter med metastatisk brystkræft. Se pkt. 5.1 for yderligere oplysninger om human epidermal vækstfaktor receptor 2</w:t>
      </w:r>
      <w:r w:rsidR="004B3750">
        <w:rPr>
          <w:snapToGrid w:val="0"/>
          <w:lang w:val="da-DK"/>
        </w:rPr>
        <w:noBreakHyphen/>
      </w:r>
      <w:r w:rsidR="00473235" w:rsidRPr="001278B6">
        <w:rPr>
          <w:snapToGrid w:val="0"/>
          <w:lang w:val="da-DK"/>
        </w:rPr>
        <w:t xml:space="preserve"> (HER2) status.</w:t>
      </w:r>
    </w:p>
    <w:p w14:paraId="524E574E" w14:textId="77777777" w:rsidR="003563EF" w:rsidRPr="001278B6" w:rsidRDefault="003563EF" w:rsidP="001278B6">
      <w:pPr>
        <w:pStyle w:val="a3"/>
        <w:widowControl/>
        <w:adjustRightInd w:val="0"/>
        <w:snapToGrid w:val="0"/>
        <w:rPr>
          <w:snapToGrid w:val="0"/>
          <w:lang w:val="da-DK"/>
        </w:rPr>
      </w:pPr>
    </w:p>
    <w:p w14:paraId="22782567" w14:textId="2300CE03"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er, i kombination med capecitabin, indiceret til 1.</w:t>
      </w:r>
      <w:r w:rsidR="004B3750">
        <w:rPr>
          <w:snapToGrid w:val="0"/>
          <w:lang w:val="da-DK"/>
        </w:rPr>
        <w:noBreakHyphen/>
      </w:r>
      <w:r w:rsidR="00473235" w:rsidRPr="001278B6">
        <w:rPr>
          <w:snapToGrid w:val="0"/>
          <w:lang w:val="da-DK"/>
        </w:rPr>
        <w:t xml:space="preserve">linjebehandling af voksne patienter med metastatisk brystkræft, for hvem anden kemoterapi inklusive taxaner eller antracykliner ikke betragtes som værende hensigtsmæssig. Patienter, som har fået adjuverende behandling indeholdende taxan eller antracyklin inden for de sidste 12 måneder, bør udelukkes fra behandling med </w:t>
      </w:r>
      <w:r>
        <w:rPr>
          <w:snapToGrid w:val="0"/>
          <w:lang w:val="da-DK"/>
        </w:rPr>
        <w:t>Vegzelma</w:t>
      </w:r>
      <w:r w:rsidR="00473235" w:rsidRPr="001278B6">
        <w:rPr>
          <w:snapToGrid w:val="0"/>
          <w:lang w:val="da-DK"/>
        </w:rPr>
        <w:t xml:space="preserve"> i kombination med capecitabin. Se pkt. 5.1 for yderligere oplysninger HER2</w:t>
      </w:r>
      <w:r w:rsidR="004B3750">
        <w:rPr>
          <w:snapToGrid w:val="0"/>
          <w:lang w:val="da-DK"/>
        </w:rPr>
        <w:noBreakHyphen/>
      </w:r>
      <w:r w:rsidR="00473235" w:rsidRPr="001278B6">
        <w:rPr>
          <w:snapToGrid w:val="0"/>
          <w:lang w:val="da-DK"/>
        </w:rPr>
        <w:t>status.</w:t>
      </w:r>
    </w:p>
    <w:p w14:paraId="763FA0A1" w14:textId="77777777" w:rsidR="003563EF" w:rsidRPr="001278B6" w:rsidRDefault="003563EF" w:rsidP="001278B6">
      <w:pPr>
        <w:pStyle w:val="a3"/>
        <w:widowControl/>
        <w:adjustRightInd w:val="0"/>
        <w:snapToGrid w:val="0"/>
        <w:rPr>
          <w:snapToGrid w:val="0"/>
          <w:lang w:val="da-DK"/>
        </w:rPr>
      </w:pPr>
    </w:p>
    <w:p w14:paraId="020233E2" w14:textId="70EC1CA2"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platinbaseret kemoterapi, indiceret til 1.</w:t>
      </w:r>
      <w:r w:rsidR="004B3750">
        <w:rPr>
          <w:snapToGrid w:val="0"/>
          <w:lang w:val="da-DK"/>
        </w:rPr>
        <w:noBreakHyphen/>
      </w:r>
      <w:r w:rsidR="00473235" w:rsidRPr="001278B6">
        <w:rPr>
          <w:snapToGrid w:val="0"/>
          <w:lang w:val="da-DK"/>
        </w:rPr>
        <w:t>linjebehandling af voksne patienter med ikke</w:t>
      </w:r>
      <w:r w:rsidR="004B3750">
        <w:rPr>
          <w:snapToGrid w:val="0"/>
          <w:lang w:val="da-DK"/>
        </w:rPr>
        <w:noBreakHyphen/>
      </w:r>
      <w:r w:rsidR="00473235" w:rsidRPr="001278B6">
        <w:rPr>
          <w:snapToGrid w:val="0"/>
          <w:lang w:val="da-DK"/>
        </w:rPr>
        <w:t>operabel fremskreden, metastatisk eller recidiverende, ikke</w:t>
      </w:r>
      <w:r w:rsidR="004B3750">
        <w:rPr>
          <w:snapToGrid w:val="0"/>
          <w:lang w:val="da-DK"/>
        </w:rPr>
        <w:noBreakHyphen/>
      </w:r>
      <w:r w:rsidR="00473235" w:rsidRPr="001278B6">
        <w:rPr>
          <w:snapToGrid w:val="0"/>
          <w:lang w:val="da-DK"/>
        </w:rPr>
        <w:t>småcellet lungekræft</w:t>
      </w:r>
      <w:r w:rsidR="00E11D6F">
        <w:rPr>
          <w:snapToGrid w:val="0"/>
          <w:lang w:val="da-DK"/>
        </w:rPr>
        <w:t xml:space="preserve"> (NSCLC)</w:t>
      </w:r>
      <w:r w:rsidR="00473235" w:rsidRPr="001278B6">
        <w:rPr>
          <w:snapToGrid w:val="0"/>
          <w:lang w:val="da-DK"/>
        </w:rPr>
        <w:t>. Undtaget herfra er lungekræft med overvejende planocellulær histologi.</w:t>
      </w:r>
    </w:p>
    <w:p w14:paraId="298D0E17" w14:textId="77777777" w:rsidR="003563EF" w:rsidRPr="001278B6" w:rsidRDefault="003563EF" w:rsidP="001278B6">
      <w:pPr>
        <w:pStyle w:val="a3"/>
        <w:widowControl/>
        <w:adjustRightInd w:val="0"/>
        <w:snapToGrid w:val="0"/>
        <w:rPr>
          <w:snapToGrid w:val="0"/>
          <w:lang w:val="da-DK"/>
        </w:rPr>
      </w:pPr>
    </w:p>
    <w:p w14:paraId="2362498C" w14:textId="633948F5" w:rsidR="003563EF" w:rsidRPr="001278B6" w:rsidRDefault="00295FBB" w:rsidP="001278B6">
      <w:pPr>
        <w:pStyle w:val="a3"/>
        <w:widowControl/>
        <w:adjustRightInd w:val="0"/>
        <w:snapToGrid w:val="0"/>
        <w:rPr>
          <w:snapToGrid w:val="0"/>
          <w:lang w:val="da-DK"/>
        </w:rPr>
      </w:pPr>
      <w:r>
        <w:rPr>
          <w:snapToGrid w:val="0"/>
          <w:lang w:val="da-DK"/>
        </w:rPr>
        <w:lastRenderedPageBreak/>
        <w:t>Vegzelma</w:t>
      </w:r>
      <w:r w:rsidR="00473235" w:rsidRPr="001278B6">
        <w:rPr>
          <w:snapToGrid w:val="0"/>
          <w:lang w:val="da-DK"/>
        </w:rPr>
        <w:t xml:space="preserve"> er, i kombination med erlotinib, indiceret til 1.linjebehandling hos voksne patienter med ikke</w:t>
      </w:r>
      <w:r w:rsidR="004B3750">
        <w:rPr>
          <w:snapToGrid w:val="0"/>
          <w:lang w:val="da-DK"/>
        </w:rPr>
        <w:noBreakHyphen/>
      </w:r>
      <w:r w:rsidR="00473235" w:rsidRPr="001278B6">
        <w:rPr>
          <w:snapToGrid w:val="0"/>
          <w:lang w:val="da-DK"/>
        </w:rPr>
        <w:t>operabel fremskreden, metastatisk eller recidiverende ikke</w:t>
      </w:r>
      <w:r w:rsidR="004B3750">
        <w:rPr>
          <w:snapToGrid w:val="0"/>
          <w:lang w:val="da-DK"/>
        </w:rPr>
        <w:noBreakHyphen/>
      </w:r>
      <w:r w:rsidR="00473235" w:rsidRPr="001278B6">
        <w:rPr>
          <w:snapToGrid w:val="0"/>
          <w:lang w:val="da-DK"/>
        </w:rPr>
        <w:t xml:space="preserve">planocellulær, </w:t>
      </w:r>
      <w:r w:rsidR="00E11D6F">
        <w:rPr>
          <w:snapToGrid w:val="0"/>
          <w:lang w:val="da-DK"/>
        </w:rPr>
        <w:t>NSCLC</w:t>
      </w:r>
      <w:r w:rsidR="00473235" w:rsidRPr="001278B6">
        <w:rPr>
          <w:snapToGrid w:val="0"/>
          <w:lang w:val="da-DK"/>
        </w:rPr>
        <w:t xml:space="preserve"> med </w:t>
      </w:r>
      <w:r w:rsidR="00473235" w:rsidRPr="001278B6">
        <w:rPr>
          <w:i/>
          <w:snapToGrid w:val="0"/>
          <w:lang w:val="da-DK"/>
        </w:rPr>
        <w:t>Epidermal Growth Factor Receptor (EGFR)</w:t>
      </w:r>
      <w:r w:rsidR="004B3750">
        <w:rPr>
          <w:i/>
          <w:snapToGrid w:val="0"/>
          <w:lang w:val="da-DK"/>
        </w:rPr>
        <w:noBreakHyphen/>
      </w:r>
      <w:r w:rsidR="00473235" w:rsidRPr="001278B6">
        <w:rPr>
          <w:snapToGrid w:val="0"/>
          <w:lang w:val="da-DK"/>
        </w:rPr>
        <w:t>aktiverende mutationer (se pkt. 5.1).</w:t>
      </w:r>
    </w:p>
    <w:p w14:paraId="0CAC4B64" w14:textId="77777777" w:rsidR="003563EF" w:rsidRPr="001278B6" w:rsidRDefault="003563EF" w:rsidP="001278B6">
      <w:pPr>
        <w:pStyle w:val="a3"/>
        <w:widowControl/>
        <w:adjustRightInd w:val="0"/>
        <w:snapToGrid w:val="0"/>
        <w:rPr>
          <w:snapToGrid w:val="0"/>
          <w:lang w:val="da-DK"/>
        </w:rPr>
      </w:pPr>
    </w:p>
    <w:p w14:paraId="48D4F266" w14:textId="27B0BDCA"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interferon alfa</w:t>
      </w:r>
      <w:r w:rsidR="004B3750">
        <w:rPr>
          <w:snapToGrid w:val="0"/>
          <w:lang w:val="da-DK"/>
        </w:rPr>
        <w:noBreakHyphen/>
      </w:r>
      <w:r w:rsidR="00473235" w:rsidRPr="001278B6">
        <w:rPr>
          <w:snapToGrid w:val="0"/>
          <w:lang w:val="da-DK"/>
        </w:rPr>
        <w:t>2a, indiceret til 1.</w:t>
      </w:r>
      <w:r w:rsidR="004B3750">
        <w:rPr>
          <w:snapToGrid w:val="0"/>
          <w:lang w:val="da-DK"/>
        </w:rPr>
        <w:noBreakHyphen/>
      </w:r>
      <w:r w:rsidR="00473235" w:rsidRPr="001278B6">
        <w:rPr>
          <w:snapToGrid w:val="0"/>
          <w:lang w:val="da-DK"/>
        </w:rPr>
        <w:t>linjebehandling af voksne patienter med fremskreden og/eller metastatisk renalcellekarcinom.</w:t>
      </w:r>
    </w:p>
    <w:p w14:paraId="2C64204D" w14:textId="77777777" w:rsidR="003563EF" w:rsidRPr="001278B6" w:rsidRDefault="003563EF" w:rsidP="001278B6">
      <w:pPr>
        <w:pStyle w:val="a3"/>
        <w:widowControl/>
        <w:adjustRightInd w:val="0"/>
        <w:snapToGrid w:val="0"/>
        <w:rPr>
          <w:snapToGrid w:val="0"/>
          <w:lang w:val="da-DK"/>
        </w:rPr>
      </w:pPr>
    </w:p>
    <w:p w14:paraId="1837FD5F" w14:textId="426DBF9B"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carboplatin og paclitaxel, indiceret til frontlinjebehandling af voksne patienter med fremskreden </w:t>
      </w:r>
      <w:r w:rsidR="00473235" w:rsidRPr="001278B6">
        <w:rPr>
          <w:i/>
          <w:snapToGrid w:val="0"/>
          <w:lang w:val="da-DK"/>
        </w:rPr>
        <w:t xml:space="preserve">(International Federation of Gynecology and Obstetrics </w:t>
      </w:r>
      <w:r w:rsidR="00473235" w:rsidRPr="001278B6">
        <w:rPr>
          <w:snapToGrid w:val="0"/>
          <w:lang w:val="da-DK"/>
        </w:rPr>
        <w:t>(FIGO) stadie III B, III C og IV) epitelial ovariecancer, tubacancer eller primær peritonealcancer (se pkt. 5.1).</w:t>
      </w:r>
    </w:p>
    <w:p w14:paraId="36FFDF5B" w14:textId="77777777" w:rsidR="0079124A" w:rsidRPr="001278B6" w:rsidRDefault="0079124A" w:rsidP="001278B6">
      <w:pPr>
        <w:widowControl/>
        <w:adjustRightInd w:val="0"/>
        <w:snapToGrid w:val="0"/>
        <w:rPr>
          <w:snapToGrid w:val="0"/>
          <w:lang w:val="da-DK"/>
        </w:rPr>
      </w:pPr>
    </w:p>
    <w:p w14:paraId="11288898" w14:textId="075C7341"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carboplatin og gemcitabin eller i kombination med carboplatin og paclitaxel, indiceret til behandling af voksne patienter med første recidiv af platinsensitiv epitelial ovariecancer, tubacancer eller primær peritonealcancer, som ikke tidligere har fået behandling med bevacizumab eller andre vaskulær endotelial vækstfaktor (VEGF)</w:t>
      </w:r>
      <w:r w:rsidR="004B3750">
        <w:rPr>
          <w:snapToGrid w:val="0"/>
          <w:lang w:val="da-DK"/>
        </w:rPr>
        <w:noBreakHyphen/>
      </w:r>
      <w:r w:rsidR="00473235" w:rsidRPr="001278B6">
        <w:rPr>
          <w:snapToGrid w:val="0"/>
          <w:lang w:val="da-DK"/>
        </w:rPr>
        <w:t>hæmmere eller VEGF</w:t>
      </w:r>
      <w:r w:rsidR="004B3750">
        <w:rPr>
          <w:snapToGrid w:val="0"/>
          <w:lang w:val="da-DK"/>
        </w:rPr>
        <w:noBreakHyphen/>
      </w:r>
      <w:r w:rsidR="00473235" w:rsidRPr="001278B6">
        <w:rPr>
          <w:snapToGrid w:val="0"/>
          <w:lang w:val="da-DK"/>
        </w:rPr>
        <w:t>receptor</w:t>
      </w:r>
      <w:r w:rsidR="004B3750">
        <w:rPr>
          <w:snapToGrid w:val="0"/>
          <w:lang w:val="da-DK"/>
        </w:rPr>
        <w:noBreakHyphen/>
      </w:r>
      <w:r w:rsidR="00473235" w:rsidRPr="001278B6">
        <w:rPr>
          <w:snapToGrid w:val="0"/>
          <w:lang w:val="da-DK"/>
        </w:rPr>
        <w:t>målrettede lægemidler.</w:t>
      </w:r>
    </w:p>
    <w:p w14:paraId="5B0CDD39" w14:textId="77777777" w:rsidR="003563EF" w:rsidRPr="001278B6" w:rsidRDefault="003563EF" w:rsidP="001278B6">
      <w:pPr>
        <w:pStyle w:val="a3"/>
        <w:widowControl/>
        <w:adjustRightInd w:val="0"/>
        <w:snapToGrid w:val="0"/>
        <w:rPr>
          <w:snapToGrid w:val="0"/>
          <w:lang w:val="da-DK"/>
        </w:rPr>
      </w:pPr>
    </w:p>
    <w:p w14:paraId="178FC1C8" w14:textId="00BE4535"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paclitaxel, topotecan eller pegyleret liposomal doxorubicin, indiceret til behandling af voksne patienter med platin</w:t>
      </w:r>
      <w:r w:rsidR="004B3750">
        <w:rPr>
          <w:snapToGrid w:val="0"/>
          <w:lang w:val="da-DK"/>
        </w:rPr>
        <w:noBreakHyphen/>
      </w:r>
      <w:r w:rsidR="00473235" w:rsidRPr="001278B6">
        <w:rPr>
          <w:snapToGrid w:val="0"/>
          <w:lang w:val="da-DK"/>
        </w:rPr>
        <w:t>resistent recidiverende epitelial ovariecancer, tubacancer eller primær peritonealcancer, som ikke har gennemgået mere end to kemoterapiregimer, og som ikke tidligere har fået behandling med bevacizumab, andre VEGF</w:t>
      </w:r>
      <w:r w:rsidR="004B3750">
        <w:rPr>
          <w:snapToGrid w:val="0"/>
          <w:lang w:val="da-DK"/>
        </w:rPr>
        <w:noBreakHyphen/>
      </w:r>
      <w:r w:rsidR="00473235" w:rsidRPr="001278B6">
        <w:rPr>
          <w:snapToGrid w:val="0"/>
          <w:lang w:val="da-DK"/>
        </w:rPr>
        <w:t>hæmmere eller med VEGF</w:t>
      </w:r>
      <w:r w:rsidR="004B3750">
        <w:rPr>
          <w:snapToGrid w:val="0"/>
          <w:lang w:val="da-DK"/>
        </w:rPr>
        <w:noBreakHyphen/>
      </w:r>
      <w:r w:rsidR="00473235" w:rsidRPr="001278B6">
        <w:rPr>
          <w:snapToGrid w:val="0"/>
          <w:lang w:val="da-DK"/>
        </w:rPr>
        <w:t>receptor</w:t>
      </w:r>
      <w:r w:rsidR="004B3750">
        <w:rPr>
          <w:snapToGrid w:val="0"/>
          <w:lang w:val="da-DK"/>
        </w:rPr>
        <w:noBreakHyphen/>
      </w:r>
      <w:r w:rsidR="00473235" w:rsidRPr="001278B6">
        <w:rPr>
          <w:snapToGrid w:val="0"/>
          <w:lang w:val="da-DK"/>
        </w:rPr>
        <w:t>målrettede lægemidler (se pkt. 5.1).</w:t>
      </w:r>
    </w:p>
    <w:p w14:paraId="0109C29E" w14:textId="77777777" w:rsidR="003563EF" w:rsidRPr="001278B6" w:rsidRDefault="003563EF" w:rsidP="001278B6">
      <w:pPr>
        <w:pStyle w:val="a3"/>
        <w:widowControl/>
        <w:adjustRightInd w:val="0"/>
        <w:snapToGrid w:val="0"/>
        <w:rPr>
          <w:snapToGrid w:val="0"/>
          <w:lang w:val="da-DK"/>
        </w:rPr>
      </w:pPr>
    </w:p>
    <w:p w14:paraId="6E7BDA46" w14:textId="1E71A566"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er, i kombination med paclitaxel og cisplatin eller alternativt med paclitaxel og topotecan, hos patienter, som ikke kan behandles med platin, indiceret til behandling af voksne patienter med persisterende, recidiverende eller metastatisk cervixcancer (se pkt. 5.1).</w:t>
      </w:r>
    </w:p>
    <w:p w14:paraId="20719616" w14:textId="77777777" w:rsidR="003563EF" w:rsidRPr="001278B6" w:rsidRDefault="003563EF" w:rsidP="001278B6">
      <w:pPr>
        <w:pStyle w:val="a3"/>
        <w:widowControl/>
        <w:adjustRightInd w:val="0"/>
        <w:snapToGrid w:val="0"/>
        <w:rPr>
          <w:snapToGrid w:val="0"/>
          <w:lang w:val="da-DK"/>
        </w:rPr>
      </w:pPr>
    </w:p>
    <w:p w14:paraId="4097832A"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Dosering og administration</w:t>
      </w:r>
    </w:p>
    <w:p w14:paraId="0F8FAC71" w14:textId="77777777" w:rsidR="003563EF" w:rsidRPr="001278B6" w:rsidRDefault="003563EF" w:rsidP="001278B6">
      <w:pPr>
        <w:pStyle w:val="a3"/>
        <w:widowControl/>
        <w:adjustRightInd w:val="0"/>
        <w:snapToGrid w:val="0"/>
        <w:rPr>
          <w:snapToGrid w:val="0"/>
          <w:lang w:val="da-DK"/>
        </w:rPr>
      </w:pPr>
    </w:p>
    <w:p w14:paraId="15D717C9" w14:textId="08E2F4CE" w:rsidR="003563EF" w:rsidRPr="001278B6"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skal administreres under supervision af en læge med erfaring i anvendelse af antineoplastiske lægemidler.</w:t>
      </w:r>
    </w:p>
    <w:p w14:paraId="77B83E5A" w14:textId="77777777" w:rsidR="003563EF" w:rsidRPr="001278B6" w:rsidRDefault="003563EF" w:rsidP="001278B6">
      <w:pPr>
        <w:pStyle w:val="a3"/>
        <w:widowControl/>
        <w:adjustRightInd w:val="0"/>
        <w:snapToGrid w:val="0"/>
        <w:rPr>
          <w:snapToGrid w:val="0"/>
          <w:lang w:val="da-DK"/>
        </w:rPr>
      </w:pPr>
    </w:p>
    <w:p w14:paraId="723CF5B5"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Dosering</w:t>
      </w:r>
    </w:p>
    <w:p w14:paraId="27AB1A11" w14:textId="77777777" w:rsidR="003563EF" w:rsidRPr="001278B6" w:rsidRDefault="003563EF" w:rsidP="001278B6">
      <w:pPr>
        <w:pStyle w:val="a3"/>
        <w:keepNext/>
        <w:keepLines/>
        <w:widowControl/>
        <w:adjustRightInd w:val="0"/>
        <w:snapToGrid w:val="0"/>
        <w:rPr>
          <w:snapToGrid w:val="0"/>
          <w:lang w:val="da-DK"/>
        </w:rPr>
      </w:pPr>
    </w:p>
    <w:p w14:paraId="6A13B4A5"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Metastatisk kolorektalkræft (mCRC)</w:t>
      </w:r>
    </w:p>
    <w:p w14:paraId="1106202C" w14:textId="77777777" w:rsidR="003563EF" w:rsidRPr="001278B6" w:rsidRDefault="003563EF" w:rsidP="001278B6">
      <w:pPr>
        <w:pStyle w:val="a3"/>
        <w:keepNext/>
        <w:keepLines/>
        <w:widowControl/>
        <w:adjustRightInd w:val="0"/>
        <w:snapToGrid w:val="0"/>
        <w:rPr>
          <w:i/>
          <w:snapToGrid w:val="0"/>
          <w:lang w:val="da-DK"/>
        </w:rPr>
      </w:pPr>
    </w:p>
    <w:p w14:paraId="60642FCC" w14:textId="05D62B0A" w:rsidR="003563EF" w:rsidRPr="001278B6"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snapToGrid w:val="0"/>
          <w:lang w:val="da-DK"/>
        </w:rPr>
        <w:t>Vegzelma</w:t>
      </w:r>
      <w:r w:rsidRPr="001278B6">
        <w:rPr>
          <w:snapToGrid w:val="0"/>
          <w:lang w:val="da-DK"/>
        </w:rPr>
        <w:t xml:space="preserve"> administreres som intravenøs infusion og administreres enten som 5</w:t>
      </w:r>
      <w:r w:rsidR="006D0D74">
        <w:rPr>
          <w:snapToGrid w:val="0"/>
          <w:lang w:val="da-DK"/>
        </w:rPr>
        <w:t> </w:t>
      </w:r>
      <w:r w:rsidRPr="001278B6">
        <w:rPr>
          <w:snapToGrid w:val="0"/>
          <w:lang w:val="da-DK"/>
        </w:rPr>
        <w:t>mg/kg eller 10</w:t>
      </w:r>
      <w:r w:rsidR="00D103DA">
        <w:rPr>
          <w:snapToGrid w:val="0"/>
          <w:lang w:val="da-DK"/>
        </w:rPr>
        <w:t> mg</w:t>
      </w:r>
      <w:r w:rsidRPr="001278B6">
        <w:rPr>
          <w:snapToGrid w:val="0"/>
          <w:lang w:val="da-DK"/>
        </w:rPr>
        <w:t xml:space="preserve">/kg legemsvægt en gang </w:t>
      </w:r>
      <w:r w:rsidRPr="00F466A3">
        <w:rPr>
          <w:snapToGrid w:val="0"/>
          <w:lang w:val="da-DK"/>
        </w:rPr>
        <w:t>hver 2. uge</w:t>
      </w:r>
      <w:r w:rsidRPr="001278B6">
        <w:rPr>
          <w:snapToGrid w:val="0"/>
          <w:lang w:val="da-DK"/>
        </w:rPr>
        <w:t xml:space="preserve"> eller som 7,5</w:t>
      </w:r>
      <w:r w:rsidR="00C81F25">
        <w:rPr>
          <w:snapToGrid w:val="0"/>
          <w:lang w:val="da-DK"/>
        </w:rPr>
        <w:t> mg</w:t>
      </w:r>
      <w:r w:rsidRPr="001278B6">
        <w:rPr>
          <w:snapToGrid w:val="0"/>
          <w:lang w:val="da-DK"/>
        </w:rPr>
        <w:t>/kg eller 15</w:t>
      </w:r>
      <w:r w:rsidR="00C81F25">
        <w:rPr>
          <w:snapToGrid w:val="0"/>
          <w:lang w:val="da-DK"/>
        </w:rPr>
        <w:t> mg</w:t>
      </w:r>
      <w:r w:rsidRPr="001278B6">
        <w:rPr>
          <w:snapToGrid w:val="0"/>
          <w:lang w:val="da-DK"/>
        </w:rPr>
        <w:t xml:space="preserve">/kg legemsvægt en gang </w:t>
      </w:r>
      <w:r w:rsidRPr="00F466A3">
        <w:rPr>
          <w:snapToGrid w:val="0"/>
          <w:lang w:val="da-DK"/>
        </w:rPr>
        <w:t>hver 3. uge.</w:t>
      </w:r>
      <w:r w:rsidR="00CA3C3C">
        <w:rPr>
          <w:snapToGrid w:val="0"/>
          <w:lang w:val="da-DK"/>
        </w:rPr>
        <w:t xml:space="preserve"> </w:t>
      </w:r>
      <w:r w:rsidRPr="001278B6">
        <w:rPr>
          <w:snapToGrid w:val="0"/>
          <w:lang w:val="da-DK"/>
        </w:rPr>
        <w:t>Det anbefales, at behandlingen fortsættes indtil progression af den underliggende sygdom eller indtil uacceptabel toksicitet.</w:t>
      </w:r>
    </w:p>
    <w:p w14:paraId="7E8A84DD" w14:textId="77777777" w:rsidR="003563EF" w:rsidRPr="001278B6" w:rsidRDefault="003563EF" w:rsidP="001278B6">
      <w:pPr>
        <w:pStyle w:val="a3"/>
        <w:widowControl/>
        <w:adjustRightInd w:val="0"/>
        <w:snapToGrid w:val="0"/>
        <w:rPr>
          <w:snapToGrid w:val="0"/>
          <w:lang w:val="da-DK"/>
        </w:rPr>
      </w:pPr>
    </w:p>
    <w:p w14:paraId="231817BC"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Metastatisk brystkræft (mBC)</w:t>
      </w:r>
    </w:p>
    <w:p w14:paraId="6E534E1A" w14:textId="77777777" w:rsidR="003563EF" w:rsidRPr="001278B6" w:rsidRDefault="003563EF" w:rsidP="001278B6">
      <w:pPr>
        <w:pStyle w:val="a3"/>
        <w:keepNext/>
        <w:keepLines/>
        <w:widowControl/>
        <w:adjustRightInd w:val="0"/>
        <w:snapToGrid w:val="0"/>
        <w:rPr>
          <w:i/>
          <w:snapToGrid w:val="0"/>
          <w:lang w:val="da-DK"/>
        </w:rPr>
      </w:pPr>
    </w:p>
    <w:p w14:paraId="0CE82E3D" w14:textId="043DD034" w:rsidR="003563EF" w:rsidRPr="001278B6"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snapToGrid w:val="0"/>
          <w:lang w:val="da-DK"/>
        </w:rPr>
        <w:t>Vegzelma</w:t>
      </w:r>
      <w:r w:rsidRPr="001278B6">
        <w:rPr>
          <w:snapToGrid w:val="0"/>
          <w:lang w:val="da-DK"/>
        </w:rPr>
        <w:t xml:space="preserve"> er 10</w:t>
      </w:r>
      <w:r w:rsidR="003845FE">
        <w:rPr>
          <w:snapToGrid w:val="0"/>
          <w:lang w:val="da-DK"/>
        </w:rPr>
        <w:t> mg</w:t>
      </w:r>
      <w:r w:rsidRPr="001278B6">
        <w:rPr>
          <w:snapToGrid w:val="0"/>
          <w:lang w:val="da-DK"/>
        </w:rPr>
        <w:t>/kg legemsvægt en gang hver 2. uge eller 15</w:t>
      </w:r>
      <w:r w:rsidR="0094279E">
        <w:rPr>
          <w:snapToGrid w:val="0"/>
          <w:lang w:val="da-DK"/>
        </w:rPr>
        <w:t> mg</w:t>
      </w:r>
      <w:r w:rsidRPr="001278B6">
        <w:rPr>
          <w:snapToGrid w:val="0"/>
          <w:lang w:val="da-DK"/>
        </w:rPr>
        <w:t>/kg legemsvægt en gang hver 3. uge administreret som intravenøs infusion.</w:t>
      </w:r>
    </w:p>
    <w:p w14:paraId="42429820" w14:textId="77777777" w:rsidR="003563EF" w:rsidRPr="001278B6" w:rsidRDefault="00473235" w:rsidP="001278B6">
      <w:pPr>
        <w:pStyle w:val="a3"/>
        <w:widowControl/>
        <w:adjustRightInd w:val="0"/>
        <w:snapToGrid w:val="0"/>
        <w:rPr>
          <w:snapToGrid w:val="0"/>
          <w:lang w:val="da-DK"/>
        </w:rPr>
      </w:pPr>
      <w:r w:rsidRPr="001278B6">
        <w:rPr>
          <w:snapToGrid w:val="0"/>
          <w:lang w:val="da-DK"/>
        </w:rPr>
        <w:t>Det anbefales, at behandlingen fortsættes indtil progression af den underliggende sygdom eller indtil uacceptabel toksicitet.</w:t>
      </w:r>
    </w:p>
    <w:p w14:paraId="0FD2E5C9" w14:textId="77777777" w:rsidR="003563EF" w:rsidRPr="001278B6" w:rsidRDefault="003563EF" w:rsidP="001278B6">
      <w:pPr>
        <w:pStyle w:val="a3"/>
        <w:widowControl/>
        <w:adjustRightInd w:val="0"/>
        <w:snapToGrid w:val="0"/>
        <w:rPr>
          <w:snapToGrid w:val="0"/>
          <w:lang w:val="da-DK"/>
        </w:rPr>
      </w:pPr>
    </w:p>
    <w:p w14:paraId="28C6018D"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Ikke</w:t>
      </w:r>
      <w:r w:rsidR="004B3750">
        <w:rPr>
          <w:i/>
          <w:snapToGrid w:val="0"/>
          <w:u w:val="single"/>
          <w:lang w:val="da-DK"/>
        </w:rPr>
        <w:noBreakHyphen/>
      </w:r>
      <w:r w:rsidRPr="001278B6">
        <w:rPr>
          <w:i/>
          <w:snapToGrid w:val="0"/>
          <w:u w:val="single"/>
          <w:lang w:val="da-DK"/>
        </w:rPr>
        <w:t>småcellet lungekræft (NSCLC)</w:t>
      </w:r>
    </w:p>
    <w:p w14:paraId="4F36342C" w14:textId="77777777" w:rsidR="003563EF" w:rsidRPr="001278B6" w:rsidRDefault="003563EF" w:rsidP="001278B6">
      <w:pPr>
        <w:pStyle w:val="a3"/>
        <w:keepNext/>
        <w:keepLines/>
        <w:widowControl/>
        <w:adjustRightInd w:val="0"/>
        <w:snapToGrid w:val="0"/>
        <w:rPr>
          <w:i/>
          <w:snapToGrid w:val="0"/>
          <w:lang w:val="da-DK"/>
        </w:rPr>
      </w:pPr>
    </w:p>
    <w:p w14:paraId="6D7C4D6E" w14:textId="77777777" w:rsidR="003563EF" w:rsidRPr="00531F9D" w:rsidRDefault="00473235" w:rsidP="001278B6">
      <w:pPr>
        <w:keepNext/>
        <w:keepLines/>
        <w:widowControl/>
        <w:adjustRightInd w:val="0"/>
        <w:snapToGrid w:val="0"/>
        <w:rPr>
          <w:i/>
          <w:snapToGrid w:val="0"/>
          <w:lang w:val="da-DK"/>
        </w:rPr>
      </w:pPr>
      <w:r w:rsidRPr="00F466A3">
        <w:rPr>
          <w:i/>
          <w:snapToGrid w:val="0"/>
          <w:lang w:val="da-DK"/>
        </w:rPr>
        <w:t>1.</w:t>
      </w:r>
      <w:r w:rsidR="004B3750" w:rsidRPr="00F466A3">
        <w:rPr>
          <w:i/>
          <w:snapToGrid w:val="0"/>
          <w:lang w:val="da-DK"/>
        </w:rPr>
        <w:noBreakHyphen/>
      </w:r>
      <w:r w:rsidRPr="00F466A3">
        <w:rPr>
          <w:i/>
          <w:snapToGrid w:val="0"/>
          <w:lang w:val="da-DK"/>
        </w:rPr>
        <w:t>linjebehandling af ikke</w:t>
      </w:r>
      <w:r w:rsidR="004B3750" w:rsidRPr="00F466A3">
        <w:rPr>
          <w:i/>
          <w:snapToGrid w:val="0"/>
          <w:lang w:val="da-DK"/>
        </w:rPr>
        <w:noBreakHyphen/>
      </w:r>
      <w:r w:rsidRPr="00F466A3">
        <w:rPr>
          <w:i/>
          <w:snapToGrid w:val="0"/>
          <w:lang w:val="da-DK"/>
        </w:rPr>
        <w:t>planocellulær NSCLC i kombination med platinbaseret kemoterapi</w:t>
      </w:r>
    </w:p>
    <w:p w14:paraId="54B35FCF" w14:textId="77777777" w:rsidR="003563EF" w:rsidRPr="001278B6" w:rsidRDefault="003563EF" w:rsidP="001278B6">
      <w:pPr>
        <w:pStyle w:val="a3"/>
        <w:keepNext/>
        <w:keepLines/>
        <w:widowControl/>
        <w:adjustRightInd w:val="0"/>
        <w:snapToGrid w:val="0"/>
        <w:rPr>
          <w:i/>
          <w:snapToGrid w:val="0"/>
          <w:lang w:val="da-DK"/>
        </w:rPr>
      </w:pPr>
    </w:p>
    <w:p w14:paraId="006F62F1" w14:textId="215DA4A6" w:rsidR="003563EF" w:rsidRDefault="00295FBB" w:rsidP="001278B6">
      <w:pPr>
        <w:pStyle w:val="a3"/>
        <w:widowControl/>
        <w:adjustRightInd w:val="0"/>
        <w:snapToGrid w:val="0"/>
        <w:rPr>
          <w:snapToGrid w:val="0"/>
          <w:lang w:val="da-DK"/>
        </w:rPr>
      </w:pPr>
      <w:r>
        <w:rPr>
          <w:snapToGrid w:val="0"/>
          <w:lang w:val="da-DK"/>
        </w:rPr>
        <w:t>Vegzelma</w:t>
      </w:r>
      <w:r w:rsidR="00473235" w:rsidRPr="001278B6">
        <w:rPr>
          <w:snapToGrid w:val="0"/>
          <w:lang w:val="da-DK"/>
        </w:rPr>
        <w:t xml:space="preserve"> administreres sammen med platinbaseret kemoterapi i op til 6 behandlingsserier, efterfulgt af behandling med </w:t>
      </w:r>
      <w:r>
        <w:rPr>
          <w:snapToGrid w:val="0"/>
          <w:lang w:val="da-DK"/>
        </w:rPr>
        <w:t>Vegzelma</w:t>
      </w:r>
      <w:r w:rsidR="00473235" w:rsidRPr="001278B6">
        <w:rPr>
          <w:snapToGrid w:val="0"/>
          <w:lang w:val="da-DK"/>
        </w:rPr>
        <w:t xml:space="preserve"> som monoterapi indtil sygdomsprogression.</w:t>
      </w:r>
    </w:p>
    <w:p w14:paraId="4C3369C1" w14:textId="77777777" w:rsidR="00DD2998" w:rsidRPr="001278B6" w:rsidRDefault="00DD2998" w:rsidP="001278B6">
      <w:pPr>
        <w:pStyle w:val="a3"/>
        <w:widowControl/>
        <w:adjustRightInd w:val="0"/>
        <w:snapToGrid w:val="0"/>
        <w:rPr>
          <w:snapToGrid w:val="0"/>
          <w:lang w:val="da-DK"/>
        </w:rPr>
      </w:pPr>
    </w:p>
    <w:p w14:paraId="6B6CDF6A" w14:textId="208238F1" w:rsidR="003563EF"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snapToGrid w:val="0"/>
          <w:lang w:val="da-DK"/>
        </w:rPr>
        <w:t>Vegzelma</w:t>
      </w:r>
      <w:r w:rsidRPr="001278B6">
        <w:rPr>
          <w:snapToGrid w:val="0"/>
          <w:lang w:val="da-DK"/>
        </w:rPr>
        <w:t xml:space="preserve"> er 7,5</w:t>
      </w:r>
      <w:r w:rsidR="0094279E">
        <w:rPr>
          <w:snapToGrid w:val="0"/>
          <w:lang w:val="da-DK"/>
        </w:rPr>
        <w:t> mg</w:t>
      </w:r>
      <w:r w:rsidRPr="001278B6">
        <w:rPr>
          <w:snapToGrid w:val="0"/>
          <w:lang w:val="da-DK"/>
        </w:rPr>
        <w:t>/kg eller 15</w:t>
      </w:r>
      <w:r w:rsidR="0094279E">
        <w:rPr>
          <w:snapToGrid w:val="0"/>
          <w:lang w:val="da-DK"/>
        </w:rPr>
        <w:t> mg</w:t>
      </w:r>
      <w:r w:rsidRPr="001278B6">
        <w:rPr>
          <w:snapToGrid w:val="0"/>
          <w:lang w:val="da-DK"/>
        </w:rPr>
        <w:t>/kg legemsvægt en gang hver 3. uge administreret som intravenøs infusion.</w:t>
      </w:r>
    </w:p>
    <w:p w14:paraId="4AC3C3B1" w14:textId="77777777" w:rsidR="00DD2998" w:rsidRPr="001278B6" w:rsidRDefault="00DD2998" w:rsidP="001278B6">
      <w:pPr>
        <w:pStyle w:val="a3"/>
        <w:widowControl/>
        <w:adjustRightInd w:val="0"/>
        <w:snapToGrid w:val="0"/>
        <w:rPr>
          <w:snapToGrid w:val="0"/>
          <w:lang w:val="da-DK"/>
        </w:rPr>
      </w:pPr>
    </w:p>
    <w:p w14:paraId="53374394" w14:textId="77777777" w:rsidR="003563EF" w:rsidRDefault="00473235" w:rsidP="001278B6">
      <w:pPr>
        <w:pStyle w:val="a3"/>
        <w:widowControl/>
        <w:adjustRightInd w:val="0"/>
        <w:snapToGrid w:val="0"/>
        <w:rPr>
          <w:i/>
          <w:snapToGrid w:val="0"/>
          <w:lang w:val="da-DK"/>
        </w:rPr>
      </w:pPr>
      <w:r w:rsidRPr="001278B6">
        <w:rPr>
          <w:snapToGrid w:val="0"/>
          <w:lang w:val="da-DK"/>
        </w:rPr>
        <w:t>Klinisk effekt hos patienter med NSCLC er vist ved dosering af både 7,5</w:t>
      </w:r>
      <w:r w:rsidR="0094279E">
        <w:rPr>
          <w:snapToGrid w:val="0"/>
          <w:lang w:val="da-DK"/>
        </w:rPr>
        <w:t> mg</w:t>
      </w:r>
      <w:r w:rsidRPr="001278B6">
        <w:rPr>
          <w:snapToGrid w:val="0"/>
          <w:lang w:val="da-DK"/>
        </w:rPr>
        <w:t>/kg og 15</w:t>
      </w:r>
      <w:r w:rsidR="0094279E">
        <w:rPr>
          <w:snapToGrid w:val="0"/>
          <w:lang w:val="da-DK"/>
        </w:rPr>
        <w:t> mg</w:t>
      </w:r>
      <w:r w:rsidRPr="001278B6">
        <w:rPr>
          <w:snapToGrid w:val="0"/>
          <w:lang w:val="da-DK"/>
        </w:rPr>
        <w:t>/kg. (se pkt.</w:t>
      </w:r>
      <w:r w:rsidR="00A8767D">
        <w:rPr>
          <w:snapToGrid w:val="0"/>
          <w:lang w:val="da-DK"/>
        </w:rPr>
        <w:t> </w:t>
      </w:r>
      <w:r w:rsidRPr="001278B6">
        <w:rPr>
          <w:snapToGrid w:val="0"/>
          <w:lang w:val="da-DK"/>
        </w:rPr>
        <w:t>5.1)</w:t>
      </w:r>
      <w:r w:rsidRPr="001278B6">
        <w:rPr>
          <w:i/>
          <w:snapToGrid w:val="0"/>
          <w:lang w:val="da-DK"/>
        </w:rPr>
        <w:t>.</w:t>
      </w:r>
    </w:p>
    <w:p w14:paraId="0A285C49" w14:textId="77777777" w:rsidR="00DD2998" w:rsidRPr="001278B6" w:rsidRDefault="00DD2998" w:rsidP="001278B6">
      <w:pPr>
        <w:pStyle w:val="a3"/>
        <w:widowControl/>
        <w:adjustRightInd w:val="0"/>
        <w:snapToGrid w:val="0"/>
        <w:rPr>
          <w:i/>
          <w:snapToGrid w:val="0"/>
          <w:lang w:val="da-DK"/>
        </w:rPr>
      </w:pPr>
    </w:p>
    <w:p w14:paraId="496915FD" w14:textId="77777777" w:rsidR="003563EF" w:rsidRPr="001278B6" w:rsidRDefault="00473235" w:rsidP="001278B6">
      <w:pPr>
        <w:pStyle w:val="a3"/>
        <w:widowControl/>
        <w:adjustRightInd w:val="0"/>
        <w:snapToGrid w:val="0"/>
        <w:rPr>
          <w:snapToGrid w:val="0"/>
          <w:lang w:val="da-DK"/>
        </w:rPr>
      </w:pPr>
      <w:r w:rsidRPr="001278B6">
        <w:rPr>
          <w:snapToGrid w:val="0"/>
          <w:lang w:val="da-DK"/>
        </w:rPr>
        <w:t>Det anbefales, at behandlingen fortsættes indtil progression af den underliggende sygdom eller indtil uacceptabel toksicitet.</w:t>
      </w:r>
    </w:p>
    <w:p w14:paraId="5F7D70F6" w14:textId="77777777" w:rsidR="003563EF" w:rsidRPr="001278B6" w:rsidRDefault="003563EF" w:rsidP="001278B6">
      <w:pPr>
        <w:pStyle w:val="a3"/>
        <w:widowControl/>
        <w:adjustRightInd w:val="0"/>
        <w:snapToGrid w:val="0"/>
        <w:rPr>
          <w:snapToGrid w:val="0"/>
          <w:lang w:val="da-DK"/>
        </w:rPr>
      </w:pPr>
    </w:p>
    <w:p w14:paraId="6A637657" w14:textId="77777777" w:rsidR="003563EF" w:rsidRPr="00531F9D" w:rsidRDefault="00473235" w:rsidP="001278B6">
      <w:pPr>
        <w:keepNext/>
        <w:keepLines/>
        <w:widowControl/>
        <w:adjustRightInd w:val="0"/>
        <w:snapToGrid w:val="0"/>
        <w:rPr>
          <w:i/>
          <w:snapToGrid w:val="0"/>
          <w:lang w:val="da-DK"/>
        </w:rPr>
      </w:pPr>
      <w:r w:rsidRPr="00F466A3">
        <w:rPr>
          <w:i/>
          <w:snapToGrid w:val="0"/>
          <w:lang w:val="da-DK"/>
        </w:rPr>
        <w:t>1.</w:t>
      </w:r>
      <w:r w:rsidR="004B3750" w:rsidRPr="00F466A3">
        <w:rPr>
          <w:i/>
          <w:snapToGrid w:val="0"/>
          <w:lang w:val="da-DK"/>
        </w:rPr>
        <w:noBreakHyphen/>
      </w:r>
      <w:r w:rsidRPr="00F466A3">
        <w:rPr>
          <w:i/>
          <w:snapToGrid w:val="0"/>
          <w:lang w:val="da-DK"/>
        </w:rPr>
        <w:t>linjebehandling af ikke</w:t>
      </w:r>
      <w:r w:rsidR="004B3750" w:rsidRPr="00F466A3">
        <w:rPr>
          <w:i/>
          <w:snapToGrid w:val="0"/>
          <w:lang w:val="da-DK"/>
        </w:rPr>
        <w:noBreakHyphen/>
      </w:r>
      <w:r w:rsidRPr="00F466A3">
        <w:rPr>
          <w:i/>
          <w:snapToGrid w:val="0"/>
          <w:lang w:val="da-DK"/>
        </w:rPr>
        <w:t>planocellulær NSCLC med EGFR</w:t>
      </w:r>
      <w:r w:rsidR="004B3750" w:rsidRPr="00F466A3">
        <w:rPr>
          <w:i/>
          <w:snapToGrid w:val="0"/>
          <w:lang w:val="da-DK"/>
        </w:rPr>
        <w:noBreakHyphen/>
      </w:r>
      <w:r w:rsidRPr="00F466A3">
        <w:rPr>
          <w:i/>
          <w:snapToGrid w:val="0"/>
          <w:lang w:val="da-DK"/>
        </w:rPr>
        <w:t>aktiverende mutationer i kombination</w:t>
      </w:r>
      <w:r w:rsidRPr="00531F9D">
        <w:rPr>
          <w:i/>
          <w:snapToGrid w:val="0"/>
          <w:lang w:val="da-DK"/>
        </w:rPr>
        <w:t xml:space="preserve"> </w:t>
      </w:r>
      <w:r w:rsidRPr="00F466A3">
        <w:rPr>
          <w:i/>
          <w:snapToGrid w:val="0"/>
          <w:lang w:val="da-DK"/>
        </w:rPr>
        <w:t>med erlotinib</w:t>
      </w:r>
    </w:p>
    <w:p w14:paraId="04BFD3CE" w14:textId="77777777" w:rsidR="0079124A" w:rsidRPr="001278B6" w:rsidRDefault="0079124A" w:rsidP="001278B6">
      <w:pPr>
        <w:keepNext/>
        <w:keepLines/>
        <w:widowControl/>
        <w:adjustRightInd w:val="0"/>
        <w:snapToGrid w:val="0"/>
        <w:rPr>
          <w:snapToGrid w:val="0"/>
          <w:lang w:val="da-DK"/>
        </w:rPr>
      </w:pPr>
    </w:p>
    <w:p w14:paraId="4E2D4467" w14:textId="3ECF37B6" w:rsidR="003563EF" w:rsidRDefault="00473235" w:rsidP="001278B6">
      <w:pPr>
        <w:pStyle w:val="a3"/>
        <w:widowControl/>
        <w:adjustRightInd w:val="0"/>
        <w:snapToGrid w:val="0"/>
        <w:rPr>
          <w:snapToGrid w:val="0"/>
          <w:lang w:val="da-DK"/>
        </w:rPr>
      </w:pPr>
      <w:r w:rsidRPr="001278B6">
        <w:rPr>
          <w:snapToGrid w:val="0"/>
          <w:lang w:val="da-DK"/>
        </w:rPr>
        <w:t>Der skal udføres EGFR</w:t>
      </w:r>
      <w:r w:rsidR="004B3750">
        <w:rPr>
          <w:snapToGrid w:val="0"/>
          <w:lang w:val="da-DK"/>
        </w:rPr>
        <w:noBreakHyphen/>
      </w:r>
      <w:r w:rsidRPr="001278B6">
        <w:rPr>
          <w:snapToGrid w:val="0"/>
          <w:lang w:val="da-DK"/>
        </w:rPr>
        <w:t xml:space="preserve">mutationstest før igangsættelse af kombinationsbehandling med </w:t>
      </w:r>
      <w:r w:rsidR="00295FBB">
        <w:rPr>
          <w:snapToGrid w:val="0"/>
          <w:lang w:val="da-DK"/>
        </w:rPr>
        <w:t>Vegzelma</w:t>
      </w:r>
      <w:r w:rsidRPr="001278B6">
        <w:rPr>
          <w:snapToGrid w:val="0"/>
          <w:lang w:val="da-DK"/>
        </w:rPr>
        <w:t xml:space="preserve"> og erlotinib. Det er vigtigt, at grundigt validerede og robuste metoder anvendes for at hindre falsk negative eller falsk positive resultater.</w:t>
      </w:r>
    </w:p>
    <w:p w14:paraId="39A5F098" w14:textId="77777777" w:rsidR="00DD2998" w:rsidRPr="001278B6" w:rsidRDefault="00DD2998" w:rsidP="001278B6">
      <w:pPr>
        <w:pStyle w:val="a3"/>
        <w:widowControl/>
        <w:adjustRightInd w:val="0"/>
        <w:snapToGrid w:val="0"/>
        <w:rPr>
          <w:snapToGrid w:val="0"/>
          <w:lang w:val="da-DK"/>
        </w:rPr>
      </w:pPr>
    </w:p>
    <w:p w14:paraId="2E0BD482" w14:textId="2E9929DE" w:rsidR="003563EF"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snapToGrid w:val="0"/>
          <w:lang w:val="da-DK"/>
        </w:rPr>
        <w:t>Vegzelma</w:t>
      </w:r>
      <w:r w:rsidRPr="001278B6">
        <w:rPr>
          <w:snapToGrid w:val="0"/>
          <w:lang w:val="da-DK"/>
        </w:rPr>
        <w:t>, når det anvendes sammen med erlotinib, er 15</w:t>
      </w:r>
      <w:r w:rsidR="006120AB">
        <w:rPr>
          <w:snapToGrid w:val="0"/>
          <w:lang w:val="da-DK"/>
        </w:rPr>
        <w:t> mg</w:t>
      </w:r>
      <w:r w:rsidRPr="001278B6">
        <w:rPr>
          <w:snapToGrid w:val="0"/>
          <w:lang w:val="da-DK"/>
        </w:rPr>
        <w:t>/kg legemsvægt en gang hver 3. uge som intravenøs infusion.</w:t>
      </w:r>
    </w:p>
    <w:p w14:paraId="16E4382D" w14:textId="77777777" w:rsidR="00DD2998" w:rsidRPr="001278B6" w:rsidRDefault="00DD2998" w:rsidP="001278B6">
      <w:pPr>
        <w:pStyle w:val="a3"/>
        <w:widowControl/>
        <w:adjustRightInd w:val="0"/>
        <w:snapToGrid w:val="0"/>
        <w:rPr>
          <w:snapToGrid w:val="0"/>
          <w:lang w:val="da-DK"/>
        </w:rPr>
      </w:pPr>
    </w:p>
    <w:p w14:paraId="4C4BCB9F" w14:textId="44E800F1" w:rsidR="00E62C14" w:rsidRDefault="00473235" w:rsidP="006D0605">
      <w:pPr>
        <w:widowControl/>
        <w:adjustRightInd w:val="0"/>
        <w:snapToGrid w:val="0"/>
        <w:rPr>
          <w:snapToGrid w:val="0"/>
          <w:lang w:val="da-DK"/>
        </w:rPr>
      </w:pPr>
      <w:r w:rsidRPr="001278B6">
        <w:rPr>
          <w:snapToGrid w:val="0"/>
          <w:lang w:val="da-DK"/>
        </w:rPr>
        <w:t xml:space="preserve">Det anbefales, at behandling med </w:t>
      </w:r>
      <w:r w:rsidR="00295FBB">
        <w:rPr>
          <w:snapToGrid w:val="0"/>
          <w:lang w:val="da-DK"/>
        </w:rPr>
        <w:t>Vegzelma</w:t>
      </w:r>
      <w:r w:rsidRPr="001278B6">
        <w:rPr>
          <w:snapToGrid w:val="0"/>
          <w:lang w:val="da-DK"/>
        </w:rPr>
        <w:t xml:space="preserve"> i tillæg til erlotinib fortsættes indtil sygdomsprogression.</w:t>
      </w:r>
    </w:p>
    <w:p w14:paraId="12CF7239" w14:textId="77777777" w:rsidR="00E62C14" w:rsidRDefault="00E62C14" w:rsidP="006D0605">
      <w:pPr>
        <w:widowControl/>
        <w:adjustRightInd w:val="0"/>
        <w:snapToGrid w:val="0"/>
        <w:rPr>
          <w:snapToGrid w:val="0"/>
          <w:lang w:val="da-DK"/>
        </w:rPr>
      </w:pPr>
    </w:p>
    <w:p w14:paraId="3B5DB7EB" w14:textId="77777777" w:rsidR="00A8767D" w:rsidRDefault="00473235" w:rsidP="006D0605">
      <w:pPr>
        <w:widowControl/>
        <w:adjustRightInd w:val="0"/>
        <w:snapToGrid w:val="0"/>
        <w:rPr>
          <w:snapToGrid w:val="0"/>
          <w:lang w:val="da-DK"/>
        </w:rPr>
      </w:pPr>
      <w:r w:rsidRPr="001278B6">
        <w:rPr>
          <w:snapToGrid w:val="0"/>
          <w:lang w:val="da-DK"/>
        </w:rPr>
        <w:t>Se produktresuméet for erlotinib for information vedrørende dosering og administration af erlotinib.</w:t>
      </w:r>
    </w:p>
    <w:p w14:paraId="15658997" w14:textId="77777777" w:rsidR="00A8767D" w:rsidRDefault="00A8767D" w:rsidP="006D0605">
      <w:pPr>
        <w:widowControl/>
        <w:adjustRightInd w:val="0"/>
        <w:snapToGrid w:val="0"/>
        <w:rPr>
          <w:snapToGrid w:val="0"/>
          <w:lang w:val="da-DK"/>
        </w:rPr>
      </w:pPr>
    </w:p>
    <w:p w14:paraId="735C29D0" w14:textId="77777777" w:rsidR="003563EF" w:rsidRPr="003C63FB" w:rsidRDefault="00473235" w:rsidP="001278B6">
      <w:pPr>
        <w:keepNext/>
        <w:keepLines/>
        <w:widowControl/>
        <w:adjustRightInd w:val="0"/>
        <w:snapToGrid w:val="0"/>
        <w:rPr>
          <w:i/>
          <w:snapToGrid w:val="0"/>
          <w:lang w:val="nb-NO"/>
        </w:rPr>
      </w:pPr>
      <w:r w:rsidRPr="003C63FB">
        <w:rPr>
          <w:i/>
          <w:snapToGrid w:val="0"/>
          <w:u w:val="single"/>
          <w:lang w:val="nb-NO"/>
        </w:rPr>
        <w:t>Fremskreden og/eller metastatisk renalcellekarcinom (mRCC)</w:t>
      </w:r>
    </w:p>
    <w:p w14:paraId="31BD071A" w14:textId="77777777" w:rsidR="00E62C14" w:rsidRPr="003C63FB" w:rsidRDefault="00E62C14" w:rsidP="001278B6">
      <w:pPr>
        <w:pStyle w:val="a3"/>
        <w:keepNext/>
        <w:keepLines/>
        <w:widowControl/>
        <w:adjustRightInd w:val="0"/>
        <w:snapToGrid w:val="0"/>
        <w:rPr>
          <w:snapToGrid w:val="0"/>
          <w:lang w:val="nb-NO"/>
        </w:rPr>
      </w:pPr>
    </w:p>
    <w:p w14:paraId="3BC631B5" w14:textId="1378E87B" w:rsidR="003563EF" w:rsidRPr="001278B6"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snapToGrid w:val="0"/>
          <w:lang w:val="da-DK"/>
        </w:rPr>
        <w:t>Vegzelma</w:t>
      </w:r>
      <w:r w:rsidRPr="001278B6">
        <w:rPr>
          <w:snapToGrid w:val="0"/>
          <w:lang w:val="da-DK"/>
        </w:rPr>
        <w:t xml:space="preserve"> er 10</w:t>
      </w:r>
      <w:r w:rsidR="006120AB">
        <w:rPr>
          <w:snapToGrid w:val="0"/>
          <w:lang w:val="da-DK"/>
        </w:rPr>
        <w:t> mg</w:t>
      </w:r>
      <w:r w:rsidRPr="001278B6">
        <w:rPr>
          <w:snapToGrid w:val="0"/>
          <w:lang w:val="da-DK"/>
        </w:rPr>
        <w:t>/kg legemsvægt en gang hver 2. uge administreret som intravenøs infusion.</w:t>
      </w:r>
    </w:p>
    <w:p w14:paraId="3D6DCE9C" w14:textId="77777777" w:rsidR="003563EF" w:rsidRPr="001278B6" w:rsidRDefault="00473235" w:rsidP="001278B6">
      <w:pPr>
        <w:pStyle w:val="a3"/>
        <w:widowControl/>
        <w:adjustRightInd w:val="0"/>
        <w:snapToGrid w:val="0"/>
        <w:rPr>
          <w:snapToGrid w:val="0"/>
          <w:lang w:val="da-DK"/>
        </w:rPr>
      </w:pPr>
      <w:r w:rsidRPr="001278B6">
        <w:rPr>
          <w:snapToGrid w:val="0"/>
          <w:lang w:val="da-DK"/>
        </w:rPr>
        <w:t>Det anbefales, at behandlingen fortsættes indtil progression af den underliggende sygdom eller indtil uacceptabel toksicitet.</w:t>
      </w:r>
    </w:p>
    <w:p w14:paraId="389C190E" w14:textId="77777777" w:rsidR="003563EF" w:rsidRPr="001278B6" w:rsidRDefault="003563EF" w:rsidP="001278B6">
      <w:pPr>
        <w:pStyle w:val="a3"/>
        <w:widowControl/>
        <w:adjustRightInd w:val="0"/>
        <w:snapToGrid w:val="0"/>
        <w:rPr>
          <w:snapToGrid w:val="0"/>
          <w:lang w:val="da-DK"/>
        </w:rPr>
      </w:pPr>
    </w:p>
    <w:p w14:paraId="5779F484"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Epitelial ovariecancer, tubacancer og primær peritonealcancer</w:t>
      </w:r>
    </w:p>
    <w:p w14:paraId="7CA66243" w14:textId="77777777" w:rsidR="003563EF" w:rsidRPr="001278B6" w:rsidRDefault="003563EF" w:rsidP="001278B6">
      <w:pPr>
        <w:pStyle w:val="a3"/>
        <w:keepNext/>
        <w:keepLines/>
        <w:widowControl/>
        <w:adjustRightInd w:val="0"/>
        <w:snapToGrid w:val="0"/>
        <w:rPr>
          <w:iCs/>
          <w:snapToGrid w:val="0"/>
          <w:lang w:val="da-DK"/>
        </w:rPr>
      </w:pPr>
    </w:p>
    <w:p w14:paraId="16149D47" w14:textId="3D534E26" w:rsidR="003563EF" w:rsidRPr="001278B6" w:rsidRDefault="00473235" w:rsidP="001278B6">
      <w:pPr>
        <w:pStyle w:val="a3"/>
        <w:widowControl/>
        <w:adjustRightInd w:val="0"/>
        <w:snapToGrid w:val="0"/>
        <w:rPr>
          <w:snapToGrid w:val="0"/>
          <w:lang w:val="da-DK"/>
        </w:rPr>
      </w:pPr>
      <w:r w:rsidRPr="00F466A3">
        <w:rPr>
          <w:i/>
          <w:snapToGrid w:val="0"/>
          <w:lang w:val="da-DK"/>
        </w:rPr>
        <w:t>Frontlinjebehandling</w:t>
      </w:r>
      <w:r w:rsidRPr="001278B6">
        <w:rPr>
          <w:i/>
          <w:snapToGrid w:val="0"/>
          <w:lang w:val="da-DK"/>
        </w:rPr>
        <w:t xml:space="preserve">: </w:t>
      </w:r>
      <w:r w:rsidR="00295FBB">
        <w:rPr>
          <w:iCs/>
          <w:snapToGrid w:val="0"/>
          <w:lang w:val="da-DK"/>
        </w:rPr>
        <w:t>Vegzelma</w:t>
      </w:r>
      <w:r w:rsidRPr="001278B6">
        <w:rPr>
          <w:snapToGrid w:val="0"/>
          <w:lang w:val="da-DK"/>
        </w:rPr>
        <w:t xml:space="preserve"> administreres sammen med carboplatin og paclitaxel i op til 6 behandlingsserier, efterfulgt af fortsat behandling med </w:t>
      </w:r>
      <w:r w:rsidR="00295FBB">
        <w:rPr>
          <w:iCs/>
          <w:snapToGrid w:val="0"/>
          <w:lang w:val="da-DK"/>
        </w:rPr>
        <w:t>Vegzelma</w:t>
      </w:r>
      <w:r w:rsidRPr="001278B6">
        <w:rPr>
          <w:snapToGrid w:val="0"/>
          <w:lang w:val="da-DK"/>
        </w:rPr>
        <w:t xml:space="preserve"> som monoterapi indtil sygdomsprogression eller i op til 15 måneder eller indtil uacceptabel toksicitet, alt efter hvad der forekommer først.</w:t>
      </w:r>
    </w:p>
    <w:p w14:paraId="2FE266DD" w14:textId="77777777" w:rsidR="003563EF" w:rsidRPr="001278B6" w:rsidRDefault="003563EF" w:rsidP="001278B6">
      <w:pPr>
        <w:pStyle w:val="a3"/>
        <w:widowControl/>
        <w:adjustRightInd w:val="0"/>
        <w:snapToGrid w:val="0"/>
        <w:rPr>
          <w:snapToGrid w:val="0"/>
          <w:lang w:val="da-DK"/>
        </w:rPr>
      </w:pPr>
    </w:p>
    <w:p w14:paraId="1B90FD5C" w14:textId="3FE9D834" w:rsidR="003563EF" w:rsidRPr="001278B6" w:rsidRDefault="00473235" w:rsidP="001278B6">
      <w:pPr>
        <w:pStyle w:val="a3"/>
        <w:widowControl/>
        <w:adjustRightInd w:val="0"/>
        <w:snapToGrid w:val="0"/>
        <w:rPr>
          <w:snapToGrid w:val="0"/>
          <w:lang w:val="da-DK"/>
        </w:rPr>
      </w:pPr>
      <w:r w:rsidRPr="001278B6">
        <w:rPr>
          <w:snapToGrid w:val="0"/>
          <w:lang w:val="da-DK"/>
        </w:rPr>
        <w:t xml:space="preserve">Den anbefalede dosis af </w:t>
      </w:r>
      <w:r w:rsidR="00295FBB">
        <w:rPr>
          <w:iCs/>
          <w:snapToGrid w:val="0"/>
          <w:lang w:val="da-DK"/>
        </w:rPr>
        <w:t>Vegzelma</w:t>
      </w:r>
      <w:r w:rsidRPr="001278B6">
        <w:rPr>
          <w:snapToGrid w:val="0"/>
          <w:lang w:val="da-DK"/>
        </w:rPr>
        <w:t xml:space="preserve"> er 15</w:t>
      </w:r>
      <w:r w:rsidR="006120AB">
        <w:rPr>
          <w:snapToGrid w:val="0"/>
          <w:lang w:val="da-DK"/>
        </w:rPr>
        <w:t> mg</w:t>
      </w:r>
      <w:r w:rsidRPr="001278B6">
        <w:rPr>
          <w:snapToGrid w:val="0"/>
          <w:lang w:val="da-DK"/>
        </w:rPr>
        <w:t>/kg legemsvægt en gang hver 3. uge administreret som intravenøs infusion.</w:t>
      </w:r>
    </w:p>
    <w:p w14:paraId="24547A6E" w14:textId="77777777" w:rsidR="003563EF" w:rsidRPr="001278B6" w:rsidRDefault="003563EF" w:rsidP="001278B6">
      <w:pPr>
        <w:pStyle w:val="a3"/>
        <w:widowControl/>
        <w:adjustRightInd w:val="0"/>
        <w:snapToGrid w:val="0"/>
        <w:rPr>
          <w:snapToGrid w:val="0"/>
          <w:lang w:val="da-DK"/>
        </w:rPr>
      </w:pPr>
    </w:p>
    <w:p w14:paraId="57E996CA" w14:textId="65771246" w:rsidR="003563EF" w:rsidRPr="001278B6" w:rsidRDefault="00473235" w:rsidP="001278B6">
      <w:pPr>
        <w:pStyle w:val="a3"/>
        <w:widowControl/>
        <w:adjustRightInd w:val="0"/>
        <w:snapToGrid w:val="0"/>
        <w:rPr>
          <w:snapToGrid w:val="0"/>
          <w:lang w:val="da-DK"/>
        </w:rPr>
      </w:pPr>
      <w:r w:rsidRPr="00F466A3">
        <w:rPr>
          <w:i/>
          <w:snapToGrid w:val="0"/>
          <w:lang w:val="da-DK"/>
        </w:rPr>
        <w:t>Behandling af platinfølsom recidiverende sygdom</w:t>
      </w:r>
      <w:r w:rsidRPr="001278B6">
        <w:rPr>
          <w:i/>
          <w:snapToGrid w:val="0"/>
          <w:lang w:val="da-DK"/>
        </w:rPr>
        <w:t xml:space="preserve">: </w:t>
      </w:r>
      <w:r w:rsidR="00295FBB">
        <w:rPr>
          <w:iCs/>
          <w:snapToGrid w:val="0"/>
          <w:lang w:val="da-DK"/>
        </w:rPr>
        <w:t>Vegzelma</w:t>
      </w:r>
      <w:r w:rsidRPr="001278B6">
        <w:rPr>
          <w:snapToGrid w:val="0"/>
          <w:lang w:val="da-DK"/>
        </w:rPr>
        <w:t xml:space="preserve"> administreres enten sammen med carboplatin og gemcitabin i 6 og op til 10 behandlingsserier eller sammen med carboplatin og paclitaxel i 6 og op til 8 behandlingsserier, efterfulgt af fortsat behandling med </w:t>
      </w:r>
      <w:r w:rsidR="00295FBB">
        <w:rPr>
          <w:iCs/>
          <w:snapToGrid w:val="0"/>
          <w:lang w:val="da-DK"/>
        </w:rPr>
        <w:t>Vegzelma</w:t>
      </w:r>
      <w:r w:rsidRPr="001278B6">
        <w:rPr>
          <w:snapToGrid w:val="0"/>
          <w:lang w:val="da-DK"/>
        </w:rPr>
        <w:t xml:space="preserve"> som monoterapi indtil sygdomsprogression. Den anbefalede </w:t>
      </w:r>
      <w:r w:rsidR="00295FBB">
        <w:rPr>
          <w:iCs/>
          <w:snapToGrid w:val="0"/>
          <w:lang w:val="da-DK"/>
        </w:rPr>
        <w:t>Vegzelma</w:t>
      </w:r>
      <w:r w:rsidR="004B3750">
        <w:rPr>
          <w:snapToGrid w:val="0"/>
          <w:lang w:val="da-DK"/>
        </w:rPr>
        <w:noBreakHyphen/>
      </w:r>
      <w:r w:rsidRPr="001278B6">
        <w:rPr>
          <w:snapToGrid w:val="0"/>
          <w:lang w:val="da-DK"/>
        </w:rPr>
        <w:t>dosis er 15</w:t>
      </w:r>
      <w:r w:rsidR="006120AB">
        <w:rPr>
          <w:snapToGrid w:val="0"/>
          <w:lang w:val="da-DK"/>
        </w:rPr>
        <w:t> mg</w:t>
      </w:r>
      <w:r w:rsidRPr="001278B6">
        <w:rPr>
          <w:snapToGrid w:val="0"/>
          <w:lang w:val="da-DK"/>
        </w:rPr>
        <w:t>/kg legemsvægt en gang hver 3. uge administreret som intravenøs infusion.</w:t>
      </w:r>
    </w:p>
    <w:p w14:paraId="374AB281" w14:textId="77777777" w:rsidR="003563EF" w:rsidRPr="001278B6" w:rsidRDefault="003563EF" w:rsidP="001278B6">
      <w:pPr>
        <w:pStyle w:val="a3"/>
        <w:widowControl/>
        <w:adjustRightInd w:val="0"/>
        <w:snapToGrid w:val="0"/>
        <w:rPr>
          <w:snapToGrid w:val="0"/>
          <w:lang w:val="da-DK"/>
        </w:rPr>
      </w:pPr>
    </w:p>
    <w:p w14:paraId="47AEC0A6" w14:textId="19231F1D" w:rsidR="003563EF" w:rsidRPr="001278B6" w:rsidRDefault="00473235" w:rsidP="001278B6">
      <w:pPr>
        <w:pStyle w:val="a3"/>
        <w:widowControl/>
        <w:adjustRightInd w:val="0"/>
        <w:snapToGrid w:val="0"/>
        <w:rPr>
          <w:snapToGrid w:val="0"/>
          <w:lang w:val="da-DK"/>
        </w:rPr>
      </w:pPr>
      <w:r w:rsidRPr="00F466A3">
        <w:rPr>
          <w:i/>
          <w:snapToGrid w:val="0"/>
          <w:lang w:val="da-DK"/>
        </w:rPr>
        <w:t>Behandling af platinresistent recidiverende sygdom</w:t>
      </w:r>
      <w:r w:rsidRPr="001278B6">
        <w:rPr>
          <w:i/>
          <w:snapToGrid w:val="0"/>
          <w:lang w:val="da-DK"/>
        </w:rPr>
        <w:t xml:space="preserve">: </w:t>
      </w:r>
      <w:r w:rsidR="00295FBB">
        <w:rPr>
          <w:iCs/>
          <w:snapToGrid w:val="0"/>
          <w:lang w:val="da-DK"/>
        </w:rPr>
        <w:t>Vegzelma</w:t>
      </w:r>
      <w:r w:rsidRPr="001278B6">
        <w:rPr>
          <w:snapToGrid w:val="0"/>
          <w:lang w:val="da-DK"/>
        </w:rPr>
        <w:t xml:space="preserve"> administreres i kombination med et af følgende stoffer – paclitaxel, topotecan (givet ugentligt) eller pegyleret liposomal doxorubicin. Den anbefalede </w:t>
      </w:r>
      <w:r w:rsidR="00295FBB">
        <w:rPr>
          <w:iCs/>
          <w:snapToGrid w:val="0"/>
          <w:lang w:val="da-DK"/>
        </w:rPr>
        <w:t>Vegzelma</w:t>
      </w:r>
      <w:r w:rsidR="004B3750">
        <w:rPr>
          <w:snapToGrid w:val="0"/>
          <w:lang w:val="da-DK"/>
        </w:rPr>
        <w:noBreakHyphen/>
      </w:r>
      <w:r w:rsidRPr="001278B6">
        <w:rPr>
          <w:snapToGrid w:val="0"/>
          <w:lang w:val="da-DK"/>
        </w:rPr>
        <w:t>dosis er 10</w:t>
      </w:r>
      <w:r w:rsidR="006120AB">
        <w:rPr>
          <w:snapToGrid w:val="0"/>
          <w:lang w:val="da-DK"/>
        </w:rPr>
        <w:t> mg</w:t>
      </w:r>
      <w:r w:rsidRPr="001278B6">
        <w:rPr>
          <w:snapToGrid w:val="0"/>
          <w:lang w:val="da-DK"/>
        </w:rPr>
        <w:t xml:space="preserve">/kg kropsvægt en gang hver 2. uge som intravenøs infusion. Når </w:t>
      </w:r>
      <w:r w:rsidR="00295FBB">
        <w:rPr>
          <w:iCs/>
          <w:snapToGrid w:val="0"/>
          <w:lang w:val="da-DK"/>
        </w:rPr>
        <w:t>Vegzelma</w:t>
      </w:r>
      <w:r w:rsidRPr="001278B6">
        <w:rPr>
          <w:snapToGrid w:val="0"/>
          <w:lang w:val="da-DK"/>
        </w:rPr>
        <w:t xml:space="preserve"> administreres i kombination med topotecan (givet på dag 1</w:t>
      </w:r>
      <w:r w:rsidR="004B3750">
        <w:rPr>
          <w:snapToGrid w:val="0"/>
          <w:lang w:val="da-DK"/>
        </w:rPr>
        <w:noBreakHyphen/>
      </w:r>
      <w:r w:rsidRPr="001278B6">
        <w:rPr>
          <w:snapToGrid w:val="0"/>
          <w:lang w:val="da-DK"/>
        </w:rPr>
        <w:t xml:space="preserve">5 hver 3. uge), er den anbefalede </w:t>
      </w:r>
      <w:r w:rsidR="00295FBB">
        <w:rPr>
          <w:iCs/>
          <w:snapToGrid w:val="0"/>
          <w:lang w:val="da-DK"/>
        </w:rPr>
        <w:t>Vegzelma</w:t>
      </w:r>
      <w:r w:rsidR="004B3750">
        <w:rPr>
          <w:snapToGrid w:val="0"/>
          <w:lang w:val="da-DK"/>
        </w:rPr>
        <w:noBreakHyphen/>
      </w:r>
      <w:r w:rsidRPr="001278B6">
        <w:rPr>
          <w:snapToGrid w:val="0"/>
          <w:lang w:val="da-DK"/>
        </w:rPr>
        <w:t>dosis 15</w:t>
      </w:r>
      <w:r w:rsidR="006120AB">
        <w:rPr>
          <w:snapToGrid w:val="0"/>
          <w:lang w:val="da-DK"/>
        </w:rPr>
        <w:t> mg</w:t>
      </w:r>
      <w:r w:rsidRPr="001278B6">
        <w:rPr>
          <w:snapToGrid w:val="0"/>
          <w:lang w:val="da-DK"/>
        </w:rPr>
        <w:t>/kg kropsvægt en gang hver 3. uge som intravenøs infusion. Det anbefales, at behandlingen fortsætter indtil sygdomsprogression eller uacceptabel toksicitet (se pkt. 5.1, Studie MO22224).</w:t>
      </w:r>
    </w:p>
    <w:p w14:paraId="16218C94" w14:textId="77777777" w:rsidR="003563EF" w:rsidRPr="001278B6" w:rsidRDefault="003563EF" w:rsidP="001278B6">
      <w:pPr>
        <w:pStyle w:val="a3"/>
        <w:widowControl/>
        <w:adjustRightInd w:val="0"/>
        <w:snapToGrid w:val="0"/>
        <w:rPr>
          <w:snapToGrid w:val="0"/>
          <w:lang w:val="da-DK"/>
        </w:rPr>
      </w:pPr>
    </w:p>
    <w:p w14:paraId="201ACF4D"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Cervixcancer</w:t>
      </w:r>
    </w:p>
    <w:p w14:paraId="3F8F8607" w14:textId="77777777" w:rsidR="003563EF" w:rsidRPr="001278B6" w:rsidRDefault="003563EF" w:rsidP="001278B6">
      <w:pPr>
        <w:pStyle w:val="a3"/>
        <w:keepNext/>
        <w:keepLines/>
        <w:widowControl/>
        <w:adjustRightInd w:val="0"/>
        <w:snapToGrid w:val="0"/>
        <w:rPr>
          <w:iCs/>
          <w:snapToGrid w:val="0"/>
          <w:lang w:val="da-DK"/>
        </w:rPr>
      </w:pPr>
    </w:p>
    <w:p w14:paraId="00159835" w14:textId="736D5959" w:rsidR="003563EF" w:rsidRDefault="00295FBB" w:rsidP="001278B6">
      <w:pPr>
        <w:pStyle w:val="a3"/>
        <w:widowControl/>
        <w:adjustRightInd w:val="0"/>
        <w:snapToGrid w:val="0"/>
        <w:rPr>
          <w:snapToGrid w:val="0"/>
          <w:lang w:val="da-DK"/>
        </w:rPr>
      </w:pPr>
      <w:r>
        <w:rPr>
          <w:iCs/>
          <w:snapToGrid w:val="0"/>
          <w:lang w:val="da-DK"/>
        </w:rPr>
        <w:t>Vegzelma</w:t>
      </w:r>
      <w:r w:rsidR="00473235" w:rsidRPr="001278B6">
        <w:rPr>
          <w:snapToGrid w:val="0"/>
          <w:lang w:val="da-DK"/>
        </w:rPr>
        <w:t xml:space="preserve"> administreres i kombination med et af følgende kemoterapiregimer: paclitaxel og cisplatin eller paclitaxel og topotecan.</w:t>
      </w:r>
    </w:p>
    <w:p w14:paraId="577CDEAD" w14:textId="77777777" w:rsidR="00DD2998" w:rsidRPr="001278B6" w:rsidRDefault="00DD2998" w:rsidP="001278B6">
      <w:pPr>
        <w:pStyle w:val="a3"/>
        <w:widowControl/>
        <w:adjustRightInd w:val="0"/>
        <w:snapToGrid w:val="0"/>
        <w:rPr>
          <w:snapToGrid w:val="0"/>
          <w:lang w:val="da-DK"/>
        </w:rPr>
      </w:pPr>
    </w:p>
    <w:p w14:paraId="6C77803E" w14:textId="4509A5EA"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 xml:space="preserve">Den anbefalede dosis af </w:t>
      </w:r>
      <w:r w:rsidR="00295FBB">
        <w:rPr>
          <w:iCs/>
          <w:snapToGrid w:val="0"/>
          <w:lang w:val="da-DK"/>
        </w:rPr>
        <w:t>Vegzelma</w:t>
      </w:r>
      <w:r w:rsidRPr="001278B6">
        <w:rPr>
          <w:snapToGrid w:val="0"/>
          <w:lang w:val="da-DK"/>
        </w:rPr>
        <w:t xml:space="preserve"> er 15</w:t>
      </w:r>
      <w:r w:rsidR="006120AB">
        <w:rPr>
          <w:snapToGrid w:val="0"/>
          <w:lang w:val="da-DK"/>
        </w:rPr>
        <w:t> mg</w:t>
      </w:r>
      <w:r w:rsidRPr="001278B6">
        <w:rPr>
          <w:snapToGrid w:val="0"/>
          <w:lang w:val="da-DK"/>
        </w:rPr>
        <w:t>/kg kropsvægt en gang hver 3. uge som intravenøs infusion. Det anbefales, at behandlingen fortsættes indtil progression af den underliggende sygdom eller indtil uacceptabel toksicitet (se pkt. 5.1)</w:t>
      </w:r>
    </w:p>
    <w:p w14:paraId="3F7FB97E" w14:textId="77777777" w:rsidR="003563EF" w:rsidRPr="001278B6" w:rsidRDefault="003563EF" w:rsidP="001278B6">
      <w:pPr>
        <w:pStyle w:val="a3"/>
        <w:widowControl/>
        <w:adjustRightInd w:val="0"/>
        <w:snapToGrid w:val="0"/>
        <w:rPr>
          <w:snapToGrid w:val="0"/>
          <w:lang w:val="da-DK"/>
        </w:rPr>
      </w:pPr>
    </w:p>
    <w:p w14:paraId="21FBF110"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Specielle patientgrupper</w:t>
      </w:r>
    </w:p>
    <w:p w14:paraId="595BC7EE" w14:textId="77777777" w:rsidR="003563EF" w:rsidRPr="001278B6" w:rsidRDefault="003563EF" w:rsidP="001278B6">
      <w:pPr>
        <w:pStyle w:val="a3"/>
        <w:keepNext/>
        <w:keepLines/>
        <w:widowControl/>
        <w:adjustRightInd w:val="0"/>
        <w:snapToGrid w:val="0"/>
        <w:rPr>
          <w:iCs/>
          <w:snapToGrid w:val="0"/>
          <w:lang w:val="da-DK"/>
        </w:rPr>
      </w:pPr>
    </w:p>
    <w:p w14:paraId="3111DC7D" w14:textId="77777777" w:rsidR="00531F9D" w:rsidRDefault="00473235" w:rsidP="001278B6">
      <w:pPr>
        <w:widowControl/>
        <w:adjustRightInd w:val="0"/>
        <w:snapToGrid w:val="0"/>
        <w:rPr>
          <w:i/>
          <w:snapToGrid w:val="0"/>
          <w:lang w:val="da-DK"/>
        </w:rPr>
      </w:pPr>
      <w:r w:rsidRPr="001278B6">
        <w:rPr>
          <w:i/>
          <w:snapToGrid w:val="0"/>
          <w:lang w:val="da-DK"/>
        </w:rPr>
        <w:t>Ældre patienter</w:t>
      </w:r>
    </w:p>
    <w:p w14:paraId="154477E3" w14:textId="5997D480" w:rsidR="003563EF" w:rsidRPr="001278B6" w:rsidRDefault="00473235" w:rsidP="001278B6">
      <w:pPr>
        <w:widowControl/>
        <w:adjustRightInd w:val="0"/>
        <w:snapToGrid w:val="0"/>
        <w:rPr>
          <w:snapToGrid w:val="0"/>
          <w:lang w:val="da-DK"/>
        </w:rPr>
      </w:pPr>
      <w:r w:rsidRPr="001278B6">
        <w:rPr>
          <w:snapToGrid w:val="0"/>
          <w:lang w:val="da-DK"/>
        </w:rPr>
        <w:t>Dosisjustering er ikke nødvendig hos patienter ≥ 65 år.</w:t>
      </w:r>
    </w:p>
    <w:p w14:paraId="7EB7F616" w14:textId="77777777" w:rsidR="003563EF" w:rsidRPr="001278B6" w:rsidRDefault="003563EF" w:rsidP="001278B6">
      <w:pPr>
        <w:pStyle w:val="a3"/>
        <w:widowControl/>
        <w:adjustRightInd w:val="0"/>
        <w:snapToGrid w:val="0"/>
        <w:rPr>
          <w:snapToGrid w:val="0"/>
          <w:lang w:val="da-DK"/>
        </w:rPr>
      </w:pPr>
    </w:p>
    <w:p w14:paraId="726893CA" w14:textId="30C01E53" w:rsidR="00531F9D" w:rsidRDefault="00473235" w:rsidP="001278B6">
      <w:pPr>
        <w:widowControl/>
        <w:adjustRightInd w:val="0"/>
        <w:snapToGrid w:val="0"/>
        <w:rPr>
          <w:i/>
          <w:snapToGrid w:val="0"/>
          <w:lang w:val="da-DK"/>
        </w:rPr>
      </w:pPr>
      <w:r w:rsidRPr="001278B6">
        <w:rPr>
          <w:i/>
          <w:snapToGrid w:val="0"/>
          <w:lang w:val="da-DK"/>
        </w:rPr>
        <w:t>Patienter med nedsat nyrefunktion</w:t>
      </w:r>
    </w:p>
    <w:p w14:paraId="30FA9881" w14:textId="77777777" w:rsidR="003563EF" w:rsidRPr="001278B6" w:rsidRDefault="00473235" w:rsidP="001278B6">
      <w:pPr>
        <w:widowControl/>
        <w:adjustRightInd w:val="0"/>
        <w:snapToGrid w:val="0"/>
        <w:rPr>
          <w:i/>
          <w:snapToGrid w:val="0"/>
          <w:lang w:val="da-DK"/>
        </w:rPr>
      </w:pPr>
      <w:r w:rsidRPr="001278B6">
        <w:rPr>
          <w:snapToGrid w:val="0"/>
          <w:lang w:val="da-DK"/>
        </w:rPr>
        <w:t>Sikkerheden og effekten er ikke undersøgt hos patienter med nedsat nyrefunktion (se pkt. 5.2)</w:t>
      </w:r>
      <w:r w:rsidRPr="001278B6">
        <w:rPr>
          <w:i/>
          <w:snapToGrid w:val="0"/>
          <w:lang w:val="da-DK"/>
        </w:rPr>
        <w:t>.</w:t>
      </w:r>
    </w:p>
    <w:p w14:paraId="18B96AE7" w14:textId="77777777" w:rsidR="003563EF" w:rsidRPr="001278B6" w:rsidRDefault="003563EF" w:rsidP="001278B6">
      <w:pPr>
        <w:pStyle w:val="a3"/>
        <w:widowControl/>
        <w:adjustRightInd w:val="0"/>
        <w:snapToGrid w:val="0"/>
        <w:rPr>
          <w:i/>
          <w:snapToGrid w:val="0"/>
          <w:lang w:val="da-DK"/>
        </w:rPr>
      </w:pPr>
    </w:p>
    <w:p w14:paraId="1C46D1D3" w14:textId="77777777" w:rsidR="00531F9D" w:rsidRDefault="00473235" w:rsidP="001278B6">
      <w:pPr>
        <w:widowControl/>
        <w:adjustRightInd w:val="0"/>
        <w:snapToGrid w:val="0"/>
        <w:rPr>
          <w:bCs/>
          <w:i/>
          <w:snapToGrid w:val="0"/>
          <w:lang w:val="da-DK"/>
        </w:rPr>
      </w:pPr>
      <w:r w:rsidRPr="001278B6">
        <w:rPr>
          <w:i/>
          <w:snapToGrid w:val="0"/>
          <w:lang w:val="da-DK"/>
        </w:rPr>
        <w:t>Patienter med nedsat leverfunktion</w:t>
      </w:r>
    </w:p>
    <w:p w14:paraId="63EC3E14" w14:textId="5558183D" w:rsidR="003563EF" w:rsidRPr="001278B6" w:rsidRDefault="00473235" w:rsidP="001278B6">
      <w:pPr>
        <w:widowControl/>
        <w:adjustRightInd w:val="0"/>
        <w:snapToGrid w:val="0"/>
        <w:rPr>
          <w:snapToGrid w:val="0"/>
          <w:lang w:val="da-DK"/>
        </w:rPr>
      </w:pPr>
      <w:r w:rsidRPr="001278B6">
        <w:rPr>
          <w:snapToGrid w:val="0"/>
          <w:lang w:val="da-DK"/>
        </w:rPr>
        <w:t>Sikkerheden og effekten er ikke undersøgt hos patienter med nedsat leverfunktion (se pkt. 5.2).</w:t>
      </w:r>
    </w:p>
    <w:p w14:paraId="79166878" w14:textId="77777777" w:rsidR="0079124A" w:rsidRPr="001278B6" w:rsidRDefault="0079124A" w:rsidP="001278B6">
      <w:pPr>
        <w:widowControl/>
        <w:adjustRightInd w:val="0"/>
        <w:snapToGrid w:val="0"/>
        <w:rPr>
          <w:snapToGrid w:val="0"/>
          <w:lang w:val="da-DK"/>
        </w:rPr>
      </w:pPr>
    </w:p>
    <w:p w14:paraId="6BB2B050" w14:textId="77777777" w:rsidR="003563EF" w:rsidRPr="00531F9D" w:rsidRDefault="00473235" w:rsidP="001278B6">
      <w:pPr>
        <w:keepNext/>
        <w:keepLines/>
        <w:widowControl/>
        <w:adjustRightInd w:val="0"/>
        <w:snapToGrid w:val="0"/>
        <w:rPr>
          <w:i/>
          <w:snapToGrid w:val="0"/>
          <w:lang w:val="da-DK"/>
        </w:rPr>
      </w:pPr>
      <w:r w:rsidRPr="00F466A3">
        <w:rPr>
          <w:i/>
          <w:snapToGrid w:val="0"/>
          <w:lang w:val="da-DK"/>
        </w:rPr>
        <w:t>Pædiatrisk population</w:t>
      </w:r>
    </w:p>
    <w:p w14:paraId="7171386B"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Bevacizumabs sikkerhed og virkning hos børn under 18 år er ikke klarlagt. De tilgængelige data er beskrevet i pkt. 4.8, 5.1 og 5.2, men der kan ikke gives nogen anbefalinger vedrørende dosering.</w:t>
      </w:r>
      <w:r w:rsidR="000557D7">
        <w:rPr>
          <w:snapToGrid w:val="0"/>
          <w:lang w:val="da-DK"/>
        </w:rPr>
        <w:t xml:space="preserve"> </w:t>
      </w:r>
    </w:p>
    <w:p w14:paraId="1F8E43A1" w14:textId="77777777" w:rsidR="003563EF" w:rsidRPr="001278B6" w:rsidRDefault="00473235" w:rsidP="001278B6">
      <w:pPr>
        <w:pStyle w:val="a3"/>
        <w:widowControl/>
        <w:adjustRightInd w:val="0"/>
        <w:snapToGrid w:val="0"/>
        <w:rPr>
          <w:snapToGrid w:val="0"/>
          <w:lang w:val="da-DK"/>
        </w:rPr>
      </w:pPr>
      <w:r w:rsidRPr="001278B6">
        <w:rPr>
          <w:snapToGrid w:val="0"/>
          <w:lang w:val="da-DK"/>
        </w:rPr>
        <w:t>Det er ikke relevant at anvende bevacizumab i den pædiatriske population for indikationerne behandling af cancer i kolon, rektum, bryst, lunge, ovarie, æggeleder, peritoneum, cervix og nyre.</w:t>
      </w:r>
    </w:p>
    <w:p w14:paraId="2FC53A8D" w14:textId="77777777" w:rsidR="003563EF" w:rsidRPr="001278B6" w:rsidRDefault="003563EF" w:rsidP="001278B6">
      <w:pPr>
        <w:pStyle w:val="a3"/>
        <w:widowControl/>
        <w:adjustRightInd w:val="0"/>
        <w:snapToGrid w:val="0"/>
        <w:rPr>
          <w:snapToGrid w:val="0"/>
          <w:lang w:val="da-DK"/>
        </w:rPr>
      </w:pPr>
    </w:p>
    <w:p w14:paraId="3C63FC81"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Administration</w:t>
      </w:r>
    </w:p>
    <w:p w14:paraId="62DAAD10" w14:textId="77777777" w:rsidR="003563EF" w:rsidRPr="001278B6" w:rsidRDefault="003563EF" w:rsidP="001278B6">
      <w:pPr>
        <w:pStyle w:val="a3"/>
        <w:keepNext/>
        <w:keepLines/>
        <w:widowControl/>
        <w:adjustRightInd w:val="0"/>
        <w:snapToGrid w:val="0"/>
        <w:rPr>
          <w:snapToGrid w:val="0"/>
          <w:lang w:val="da-DK"/>
        </w:rPr>
      </w:pPr>
    </w:p>
    <w:p w14:paraId="7A2E3499" w14:textId="1E2EE225" w:rsidR="003563EF" w:rsidRPr="001278B6" w:rsidRDefault="00295FBB" w:rsidP="001278B6">
      <w:pPr>
        <w:pStyle w:val="a3"/>
        <w:widowControl/>
        <w:adjustRightInd w:val="0"/>
        <w:snapToGrid w:val="0"/>
        <w:rPr>
          <w:snapToGrid w:val="0"/>
          <w:lang w:val="da-DK"/>
        </w:rPr>
      </w:pPr>
      <w:r>
        <w:rPr>
          <w:iCs/>
          <w:snapToGrid w:val="0"/>
          <w:lang w:val="da-DK"/>
        </w:rPr>
        <w:t>Vegzelma</w:t>
      </w:r>
      <w:r w:rsidR="002405CC">
        <w:rPr>
          <w:iCs/>
          <w:snapToGrid w:val="0"/>
          <w:lang w:val="da-DK"/>
        </w:rPr>
        <w:t xml:space="preserve"> er til intravenøs anvendelse. </w:t>
      </w:r>
      <w:r w:rsidR="00473235" w:rsidRPr="001278B6">
        <w:rPr>
          <w:snapToGrid w:val="0"/>
          <w:lang w:val="da-DK"/>
        </w:rPr>
        <w:t>Initialdosis skal gives over 90 minutter som intravenøs infusion. Hvis den første infusion tolereres godt, kan den næste infusion gives over 60 minutter. Hvis infusionen over 60 minutter tolereres godt, kan alle efterfølgende infusioner gives over 30 minutter.</w:t>
      </w:r>
    </w:p>
    <w:p w14:paraId="59A4C01A" w14:textId="77777777" w:rsidR="003563EF" w:rsidRPr="001278B6" w:rsidRDefault="003563EF" w:rsidP="001278B6">
      <w:pPr>
        <w:pStyle w:val="a3"/>
        <w:widowControl/>
        <w:adjustRightInd w:val="0"/>
        <w:snapToGrid w:val="0"/>
        <w:rPr>
          <w:snapToGrid w:val="0"/>
          <w:lang w:val="da-DK"/>
        </w:rPr>
      </w:pPr>
    </w:p>
    <w:p w14:paraId="206A7C4A" w14:textId="77777777" w:rsidR="003563EF" w:rsidRPr="001278B6" w:rsidRDefault="00473235" w:rsidP="001278B6">
      <w:pPr>
        <w:pStyle w:val="a3"/>
        <w:widowControl/>
        <w:adjustRightInd w:val="0"/>
        <w:snapToGrid w:val="0"/>
        <w:rPr>
          <w:snapToGrid w:val="0"/>
          <w:lang w:val="da-DK"/>
        </w:rPr>
      </w:pPr>
      <w:r w:rsidRPr="001278B6">
        <w:rPr>
          <w:snapToGrid w:val="0"/>
          <w:lang w:val="da-DK"/>
        </w:rPr>
        <w:t>Bør ikke administreres som intravenøs støddosis eller som bolus.</w:t>
      </w:r>
    </w:p>
    <w:p w14:paraId="302EEA5E" w14:textId="77777777" w:rsidR="003563EF" w:rsidRPr="001278B6" w:rsidRDefault="00473235" w:rsidP="001278B6">
      <w:pPr>
        <w:pStyle w:val="a3"/>
        <w:widowControl/>
        <w:adjustRightInd w:val="0"/>
        <w:snapToGrid w:val="0"/>
        <w:rPr>
          <w:snapToGrid w:val="0"/>
          <w:lang w:val="da-DK"/>
        </w:rPr>
      </w:pPr>
      <w:r w:rsidRPr="001278B6">
        <w:rPr>
          <w:snapToGrid w:val="0"/>
          <w:lang w:val="da-DK"/>
        </w:rPr>
        <w:t>Det anbefales ikke at nedsætte dosis på grund af bivirkninger. Hvis det er påkrævet skal behandlingen enten seponeres permanent eller afbrydes midlertidigt, som beskrevet i pkt. 4.4.</w:t>
      </w:r>
    </w:p>
    <w:p w14:paraId="12E1D691" w14:textId="77777777" w:rsidR="003563EF" w:rsidRPr="001278B6" w:rsidRDefault="003563EF" w:rsidP="001278B6">
      <w:pPr>
        <w:pStyle w:val="a3"/>
        <w:widowControl/>
        <w:adjustRightInd w:val="0"/>
        <w:snapToGrid w:val="0"/>
        <w:rPr>
          <w:snapToGrid w:val="0"/>
          <w:lang w:val="da-DK"/>
        </w:rPr>
      </w:pPr>
    </w:p>
    <w:p w14:paraId="7CF137E9"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Sikkerhedsforanstaltninger som skal tages før håndtering og administration af lægemidlet</w:t>
      </w:r>
    </w:p>
    <w:p w14:paraId="4CFAF189" w14:textId="77777777" w:rsidR="003563EF" w:rsidRPr="001278B6" w:rsidRDefault="003563EF" w:rsidP="001278B6">
      <w:pPr>
        <w:pStyle w:val="a3"/>
        <w:keepNext/>
        <w:keepLines/>
        <w:widowControl/>
        <w:adjustRightInd w:val="0"/>
        <w:snapToGrid w:val="0"/>
        <w:rPr>
          <w:i/>
          <w:snapToGrid w:val="0"/>
          <w:lang w:val="da-DK"/>
        </w:rPr>
      </w:pPr>
    </w:p>
    <w:p w14:paraId="5210F367" w14:textId="07A65AA5" w:rsidR="003563EF" w:rsidRPr="001278B6" w:rsidRDefault="00473235" w:rsidP="001278B6">
      <w:pPr>
        <w:pStyle w:val="a3"/>
        <w:widowControl/>
        <w:adjustRightInd w:val="0"/>
        <w:snapToGrid w:val="0"/>
        <w:rPr>
          <w:snapToGrid w:val="0"/>
          <w:lang w:val="da-DK"/>
        </w:rPr>
      </w:pPr>
      <w:r w:rsidRPr="001278B6">
        <w:rPr>
          <w:snapToGrid w:val="0"/>
          <w:lang w:val="da-DK"/>
        </w:rPr>
        <w:t xml:space="preserve">For instruktion i fortynding af lægemidlet før administration, se pkt. 6.6. Infusionsvæsker med </w:t>
      </w:r>
      <w:r w:rsidR="00295FBB">
        <w:rPr>
          <w:iCs/>
          <w:snapToGrid w:val="0"/>
          <w:lang w:val="da-DK"/>
        </w:rPr>
        <w:t>Vegzelma</w:t>
      </w:r>
      <w:r w:rsidRPr="001278B6">
        <w:rPr>
          <w:snapToGrid w:val="0"/>
          <w:lang w:val="da-DK"/>
        </w:rPr>
        <w:t xml:space="preserve"> bør ikke administreres eller blandes med glucoseopløsninger. Dette lægemiddel må ikke blandes med andre lægemidler end dem, der er anført under pkt. 6.6.</w:t>
      </w:r>
    </w:p>
    <w:p w14:paraId="6F56A010" w14:textId="77777777" w:rsidR="003563EF" w:rsidRPr="001278B6" w:rsidRDefault="003563EF" w:rsidP="001278B6">
      <w:pPr>
        <w:pStyle w:val="a3"/>
        <w:widowControl/>
        <w:adjustRightInd w:val="0"/>
        <w:snapToGrid w:val="0"/>
        <w:rPr>
          <w:snapToGrid w:val="0"/>
          <w:lang w:val="da-DK"/>
        </w:rPr>
      </w:pPr>
    </w:p>
    <w:p w14:paraId="69478A5C"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Kontraindikationer</w:t>
      </w:r>
    </w:p>
    <w:p w14:paraId="7893D1B2" w14:textId="77777777" w:rsidR="003563EF" w:rsidRPr="001278B6" w:rsidRDefault="003563EF" w:rsidP="001278B6">
      <w:pPr>
        <w:pStyle w:val="a3"/>
        <w:keepNext/>
        <w:keepLines/>
        <w:widowControl/>
        <w:adjustRightInd w:val="0"/>
        <w:snapToGrid w:val="0"/>
        <w:rPr>
          <w:b/>
          <w:snapToGrid w:val="0"/>
          <w:lang w:val="da-DK"/>
        </w:rPr>
      </w:pPr>
    </w:p>
    <w:p w14:paraId="59E0978B" w14:textId="77777777" w:rsidR="003563EF" w:rsidRPr="001278B6" w:rsidRDefault="00473235" w:rsidP="001278B6">
      <w:pPr>
        <w:pStyle w:val="Bullet1"/>
        <w:widowControl/>
        <w:rPr>
          <w:lang w:val="da-DK"/>
        </w:rPr>
      </w:pPr>
      <w:r w:rsidRPr="001278B6">
        <w:rPr>
          <w:lang w:val="da-DK"/>
        </w:rPr>
        <w:t>Overfølsomhed over for det aktive stof eller et eller flere af indholdsstofferne anført i pkt. 6.1.</w:t>
      </w:r>
    </w:p>
    <w:p w14:paraId="18228F55" w14:textId="77777777" w:rsidR="003563EF" w:rsidRPr="001278B6" w:rsidRDefault="00473235" w:rsidP="001278B6">
      <w:pPr>
        <w:pStyle w:val="Bullet1"/>
        <w:widowControl/>
        <w:rPr>
          <w:lang w:val="da-DK"/>
        </w:rPr>
      </w:pPr>
      <w:r w:rsidRPr="001278B6">
        <w:rPr>
          <w:lang w:val="da-DK"/>
        </w:rPr>
        <w:t>Overfølsomhed over for præparater fremstillet i ovarieceller (CHO) fra kinesisk hamster eller andre rekombinante eller humaniserede antistoffer.</w:t>
      </w:r>
    </w:p>
    <w:p w14:paraId="00E16F92" w14:textId="77777777" w:rsidR="003563EF" w:rsidRPr="001278B6" w:rsidRDefault="00473235" w:rsidP="001278B6">
      <w:pPr>
        <w:pStyle w:val="Bullet1"/>
        <w:widowControl/>
        <w:rPr>
          <w:lang w:val="da-DK"/>
        </w:rPr>
      </w:pPr>
      <w:r w:rsidRPr="001278B6">
        <w:rPr>
          <w:lang w:val="da-DK"/>
        </w:rPr>
        <w:t>Graviditet (se pkt. 4.6).</w:t>
      </w:r>
    </w:p>
    <w:p w14:paraId="6381F6A6" w14:textId="77777777" w:rsidR="003563EF" w:rsidRPr="001278B6" w:rsidRDefault="003563EF" w:rsidP="001278B6">
      <w:pPr>
        <w:pStyle w:val="a3"/>
        <w:widowControl/>
        <w:adjustRightInd w:val="0"/>
        <w:snapToGrid w:val="0"/>
        <w:rPr>
          <w:snapToGrid w:val="0"/>
          <w:lang w:val="da-DK"/>
        </w:rPr>
      </w:pPr>
    </w:p>
    <w:p w14:paraId="0BE02A81"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Særlige advarsler og forsigtighedsregler vedrørende brugen</w:t>
      </w:r>
    </w:p>
    <w:p w14:paraId="31CB60E5" w14:textId="77777777" w:rsidR="003563EF" w:rsidRPr="001278B6" w:rsidRDefault="003563EF" w:rsidP="001278B6">
      <w:pPr>
        <w:pStyle w:val="a3"/>
        <w:keepNext/>
        <w:keepLines/>
        <w:widowControl/>
        <w:adjustRightInd w:val="0"/>
        <w:snapToGrid w:val="0"/>
        <w:rPr>
          <w:b/>
          <w:snapToGrid w:val="0"/>
          <w:lang w:val="da-DK"/>
        </w:rPr>
      </w:pPr>
    </w:p>
    <w:p w14:paraId="6250F659"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Sporbarhed</w:t>
      </w:r>
    </w:p>
    <w:p w14:paraId="5707A745" w14:textId="77777777" w:rsidR="003563EF" w:rsidRPr="001278B6" w:rsidRDefault="00473235" w:rsidP="001278B6">
      <w:pPr>
        <w:pStyle w:val="a3"/>
        <w:widowControl/>
        <w:adjustRightInd w:val="0"/>
        <w:snapToGrid w:val="0"/>
        <w:rPr>
          <w:snapToGrid w:val="0"/>
          <w:lang w:val="da-DK"/>
        </w:rPr>
      </w:pPr>
      <w:r w:rsidRPr="001278B6">
        <w:rPr>
          <w:snapToGrid w:val="0"/>
          <w:lang w:val="da-DK"/>
        </w:rPr>
        <w:t>For at forbedre sporbarheden af biologiske lægemidler skal det administrerede produkts navn og batchnummer tydeligt registreres.</w:t>
      </w:r>
    </w:p>
    <w:p w14:paraId="5BA8F455" w14:textId="77777777" w:rsidR="003563EF" w:rsidRPr="001278B6" w:rsidRDefault="003563EF" w:rsidP="001278B6">
      <w:pPr>
        <w:pStyle w:val="a3"/>
        <w:widowControl/>
        <w:adjustRightInd w:val="0"/>
        <w:snapToGrid w:val="0"/>
        <w:rPr>
          <w:snapToGrid w:val="0"/>
          <w:lang w:val="da-DK"/>
        </w:rPr>
      </w:pPr>
    </w:p>
    <w:p w14:paraId="7BB23ACA"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Gastrointestinale perforationer og fistler</w:t>
      </w:r>
      <w:r w:rsidRPr="001278B6">
        <w:rPr>
          <w:i/>
          <w:snapToGrid w:val="0"/>
          <w:lang w:val="da-DK"/>
        </w:rPr>
        <w:t xml:space="preserve"> </w:t>
      </w:r>
      <w:r w:rsidRPr="001278B6">
        <w:rPr>
          <w:snapToGrid w:val="0"/>
          <w:lang w:val="da-DK"/>
        </w:rPr>
        <w:t>(se pkt. 4.8)</w:t>
      </w:r>
    </w:p>
    <w:p w14:paraId="7F865662"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kan have en øget risiko for gastrointestinal perforation og galdeblæreperforation, når de behandles med </w:t>
      </w:r>
      <w:r w:rsidR="002405CC">
        <w:rPr>
          <w:snapToGrid w:val="0"/>
          <w:lang w:val="da-DK"/>
        </w:rPr>
        <w:t>bevacizumab</w:t>
      </w:r>
      <w:r w:rsidRPr="001278B6">
        <w:rPr>
          <w:snapToGrid w:val="0"/>
          <w:lang w:val="da-DK"/>
        </w:rPr>
        <w:t>. En intra</w:t>
      </w:r>
      <w:r w:rsidR="004B3750">
        <w:rPr>
          <w:snapToGrid w:val="0"/>
          <w:lang w:val="da-DK"/>
        </w:rPr>
        <w:noBreakHyphen/>
      </w:r>
      <w:r w:rsidRPr="001278B6">
        <w:rPr>
          <w:snapToGrid w:val="0"/>
          <w:lang w:val="da-DK"/>
        </w:rPr>
        <w:t xml:space="preserve">abdominal inflammatorisk proces kan være en risikofaktor for gastrointestinal perforation hos patienter med metastatisk kolorektalkræft, og der skal derfor iagttages forsigtighed, når disse patienter behandles. Hos patienter, behandlet med </w:t>
      </w:r>
      <w:r w:rsidR="002405CC">
        <w:rPr>
          <w:snapToGrid w:val="0"/>
          <w:lang w:val="da-DK"/>
        </w:rPr>
        <w:t>bevacizumab</w:t>
      </w:r>
      <w:r w:rsidRPr="001278B6">
        <w:rPr>
          <w:snapToGrid w:val="0"/>
          <w:lang w:val="da-DK"/>
        </w:rPr>
        <w:t xml:space="preserve"> for persisterende, recidiverende eller metastatisk cervixcancer, er tidligere strålebehandling en risikofaktor for gastrointestinal perforation og alle patienter, som fik gastrointestinal perforation, havde tidligere </w:t>
      </w:r>
      <w:r w:rsidRPr="001278B6">
        <w:rPr>
          <w:snapToGrid w:val="0"/>
          <w:lang w:val="da-DK"/>
        </w:rPr>
        <w:lastRenderedPageBreak/>
        <w:t>fået strålebehandling</w:t>
      </w:r>
      <w:r w:rsidR="00DA33B5">
        <w:rPr>
          <w:snapToGrid w:val="0"/>
          <w:lang w:val="da-DK"/>
        </w:rPr>
        <w:t xml:space="preserve">. </w:t>
      </w:r>
      <w:r w:rsidRPr="001278B6">
        <w:rPr>
          <w:snapToGrid w:val="0"/>
          <w:lang w:val="da-DK"/>
        </w:rPr>
        <w:t>Behandlingen skal seponeres permanent hos patienter, som udvikler gastrointestinal perforation.</w:t>
      </w:r>
    </w:p>
    <w:p w14:paraId="5FACE94E" w14:textId="77777777" w:rsidR="003563EF" w:rsidRPr="001278B6" w:rsidRDefault="003563EF" w:rsidP="001278B6">
      <w:pPr>
        <w:pStyle w:val="a3"/>
        <w:widowControl/>
        <w:adjustRightInd w:val="0"/>
        <w:snapToGrid w:val="0"/>
        <w:rPr>
          <w:snapToGrid w:val="0"/>
          <w:lang w:val="da-DK"/>
        </w:rPr>
      </w:pPr>
    </w:p>
    <w:p w14:paraId="077F5159"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Gastrointestinale</w:t>
      </w:r>
      <w:r w:rsidR="004B3750" w:rsidRPr="00F466A3">
        <w:rPr>
          <w:iCs/>
          <w:snapToGrid w:val="0"/>
          <w:u w:val="single"/>
          <w:lang w:val="da-DK"/>
        </w:rPr>
        <w:noBreakHyphen/>
      </w:r>
      <w:r w:rsidRPr="00F466A3">
        <w:rPr>
          <w:iCs/>
          <w:snapToGrid w:val="0"/>
          <w:u w:val="single"/>
          <w:lang w:val="da-DK"/>
        </w:rPr>
        <w:t>vaginale fistler i studie GOG</w:t>
      </w:r>
      <w:r w:rsidR="004B3750" w:rsidRPr="00F466A3">
        <w:rPr>
          <w:iCs/>
          <w:snapToGrid w:val="0"/>
          <w:u w:val="single"/>
          <w:lang w:val="da-DK"/>
        </w:rPr>
        <w:noBreakHyphen/>
      </w:r>
      <w:r w:rsidRPr="00F466A3">
        <w:rPr>
          <w:iCs/>
          <w:snapToGrid w:val="0"/>
          <w:u w:val="single"/>
          <w:lang w:val="da-DK"/>
        </w:rPr>
        <w:t>0240</w:t>
      </w:r>
    </w:p>
    <w:p w14:paraId="3A60680C"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behandlet med </w:t>
      </w:r>
      <w:r w:rsidR="002405CC">
        <w:rPr>
          <w:snapToGrid w:val="0"/>
          <w:lang w:val="da-DK"/>
        </w:rPr>
        <w:t>bevacizumab</w:t>
      </w:r>
      <w:r w:rsidRPr="001278B6">
        <w:rPr>
          <w:snapToGrid w:val="0"/>
          <w:lang w:val="da-DK"/>
        </w:rPr>
        <w:t xml:space="preserve"> for persisterende, recidiverende eller metastatisk cervixcancer, har en øget risiko for dannelse af fistler mellem vagina og alle dele af mave</w:t>
      </w:r>
      <w:r w:rsidR="004B3750">
        <w:rPr>
          <w:snapToGrid w:val="0"/>
          <w:lang w:val="da-DK"/>
        </w:rPr>
        <w:noBreakHyphen/>
      </w:r>
      <w:r w:rsidRPr="001278B6">
        <w:rPr>
          <w:snapToGrid w:val="0"/>
          <w:lang w:val="da-DK"/>
        </w:rPr>
        <w:t>tarmkanalen (gastrointestinale</w:t>
      </w:r>
      <w:r w:rsidR="004B3750">
        <w:rPr>
          <w:snapToGrid w:val="0"/>
          <w:lang w:val="da-DK"/>
        </w:rPr>
        <w:noBreakHyphen/>
      </w:r>
      <w:r w:rsidRPr="001278B6">
        <w:rPr>
          <w:snapToGrid w:val="0"/>
          <w:lang w:val="da-DK"/>
        </w:rPr>
        <w:t>vaginale fistler). Tidligere strålebehandling er en væsentlig risikofaktor for udvikling af gastrointestinale</w:t>
      </w:r>
      <w:r w:rsidR="004B3750">
        <w:rPr>
          <w:snapToGrid w:val="0"/>
          <w:lang w:val="da-DK"/>
        </w:rPr>
        <w:noBreakHyphen/>
      </w:r>
      <w:r w:rsidRPr="001278B6">
        <w:rPr>
          <w:snapToGrid w:val="0"/>
          <w:lang w:val="da-DK"/>
        </w:rPr>
        <w:t>vaginale fistler, og alle patienter, som fik gastrointestinale</w:t>
      </w:r>
      <w:r w:rsidR="004B3750">
        <w:rPr>
          <w:snapToGrid w:val="0"/>
          <w:lang w:val="da-DK"/>
        </w:rPr>
        <w:noBreakHyphen/>
      </w:r>
      <w:r w:rsidRPr="001278B6">
        <w:rPr>
          <w:snapToGrid w:val="0"/>
          <w:lang w:val="da-DK"/>
        </w:rPr>
        <w:t>vaginale fistler, havde tidligere fået strålebehandling. Recidiv af kræft indenfor strålefeltet af den tidligere strålebehandling er yderligere en risikofaktor for udvikling af gastrointestinale</w:t>
      </w:r>
      <w:r w:rsidR="004B3750">
        <w:rPr>
          <w:snapToGrid w:val="0"/>
          <w:lang w:val="da-DK"/>
        </w:rPr>
        <w:noBreakHyphen/>
      </w:r>
      <w:r w:rsidRPr="001278B6">
        <w:rPr>
          <w:snapToGrid w:val="0"/>
          <w:lang w:val="da-DK"/>
        </w:rPr>
        <w:t>vaginale fistler.</w:t>
      </w:r>
    </w:p>
    <w:p w14:paraId="1F846E5A" w14:textId="77777777" w:rsidR="0079124A" w:rsidRPr="001278B6" w:rsidRDefault="0079124A" w:rsidP="001278B6">
      <w:pPr>
        <w:widowControl/>
        <w:adjustRightInd w:val="0"/>
        <w:snapToGrid w:val="0"/>
        <w:rPr>
          <w:snapToGrid w:val="0"/>
          <w:lang w:val="da-DK"/>
        </w:rPr>
      </w:pPr>
    </w:p>
    <w:p w14:paraId="368A2BF1"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Ikke</w:t>
      </w:r>
      <w:r w:rsidR="004B3750" w:rsidRPr="00F466A3">
        <w:rPr>
          <w:iCs/>
          <w:snapToGrid w:val="0"/>
          <w:u w:val="single"/>
          <w:lang w:val="da-DK"/>
        </w:rPr>
        <w:noBreakHyphen/>
      </w:r>
      <w:r w:rsidRPr="00F466A3">
        <w:rPr>
          <w:iCs/>
          <w:snapToGrid w:val="0"/>
          <w:u w:val="single"/>
          <w:lang w:val="da-DK"/>
        </w:rPr>
        <w:t>gastrointestinale fistler</w:t>
      </w:r>
      <w:r w:rsidRPr="001278B6">
        <w:rPr>
          <w:i/>
          <w:snapToGrid w:val="0"/>
          <w:lang w:val="da-DK"/>
        </w:rPr>
        <w:t xml:space="preserve"> </w:t>
      </w:r>
      <w:r w:rsidRPr="001278B6">
        <w:rPr>
          <w:snapToGrid w:val="0"/>
          <w:lang w:val="da-DK"/>
        </w:rPr>
        <w:t>(se pkt. 4.8)</w:t>
      </w:r>
    </w:p>
    <w:p w14:paraId="6DC48DB2" w14:textId="7DBE5FDE"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kan have en øget risiko for udvikling af fistler, når de behandles med </w:t>
      </w:r>
      <w:r w:rsidR="002405CC">
        <w:rPr>
          <w:snapToGrid w:val="0"/>
          <w:lang w:val="da-DK"/>
        </w:rPr>
        <w:t>bevacizumab</w:t>
      </w:r>
      <w:r w:rsidRPr="001278B6">
        <w:rPr>
          <w:snapToGrid w:val="0"/>
          <w:lang w:val="da-DK"/>
        </w:rPr>
        <w:t xml:space="preserve">. Behandling med </w:t>
      </w:r>
      <w:r w:rsidR="00295FBB">
        <w:rPr>
          <w:iCs/>
          <w:snapToGrid w:val="0"/>
          <w:lang w:val="da-DK"/>
        </w:rPr>
        <w:t>Vegzelma</w:t>
      </w:r>
      <w:r w:rsidRPr="001278B6">
        <w:rPr>
          <w:snapToGrid w:val="0"/>
          <w:lang w:val="da-DK"/>
        </w:rPr>
        <w:t xml:space="preserve"> skal seponeres permanent hos patienter med trakeo</w:t>
      </w:r>
      <w:r w:rsidR="004B3750">
        <w:rPr>
          <w:snapToGrid w:val="0"/>
          <w:lang w:val="da-DK"/>
        </w:rPr>
        <w:noBreakHyphen/>
      </w:r>
      <w:r w:rsidRPr="001278B6">
        <w:rPr>
          <w:snapToGrid w:val="0"/>
          <w:lang w:val="da-DK"/>
        </w:rPr>
        <w:t>øsofageale (TE) fistler eller med andre fistler af grad 4 [</w:t>
      </w:r>
      <w:r w:rsidRPr="001278B6">
        <w:rPr>
          <w:i/>
          <w:snapToGrid w:val="0"/>
          <w:lang w:val="da-DK"/>
        </w:rPr>
        <w:t>US National Cancer Institute</w:t>
      </w:r>
      <w:r w:rsidR="004B3750">
        <w:rPr>
          <w:i/>
          <w:snapToGrid w:val="0"/>
          <w:lang w:val="da-DK"/>
        </w:rPr>
        <w:noBreakHyphen/>
      </w:r>
      <w:r w:rsidRPr="001278B6">
        <w:rPr>
          <w:i/>
          <w:snapToGrid w:val="0"/>
          <w:lang w:val="da-DK"/>
        </w:rPr>
        <w:t xml:space="preserve">Common Terminology Criteria for Adverse Events </w:t>
      </w:r>
      <w:r w:rsidRPr="001278B6">
        <w:rPr>
          <w:snapToGrid w:val="0"/>
          <w:lang w:val="da-DK"/>
        </w:rPr>
        <w:t>(NCI</w:t>
      </w:r>
      <w:r w:rsidR="004B3750">
        <w:rPr>
          <w:snapToGrid w:val="0"/>
          <w:lang w:val="da-DK"/>
        </w:rPr>
        <w:noBreakHyphen/>
      </w:r>
      <w:r w:rsidRPr="001278B6">
        <w:rPr>
          <w:snapToGrid w:val="0"/>
          <w:lang w:val="da-DK"/>
        </w:rPr>
        <w:t xml:space="preserve">CTCAE) version 3]. Der er kun begrænset information om fortsat brug af </w:t>
      </w:r>
      <w:r w:rsidR="002405CC">
        <w:rPr>
          <w:snapToGrid w:val="0"/>
          <w:lang w:val="da-DK"/>
        </w:rPr>
        <w:t>bevacizumab</w:t>
      </w:r>
      <w:r w:rsidRPr="001278B6">
        <w:rPr>
          <w:snapToGrid w:val="0"/>
          <w:lang w:val="da-DK"/>
        </w:rPr>
        <w:t xml:space="preserve"> hos patienter med andre fistler. Seponering af </w:t>
      </w:r>
      <w:r w:rsidR="00295FBB">
        <w:rPr>
          <w:iCs/>
          <w:snapToGrid w:val="0"/>
          <w:lang w:val="da-DK"/>
        </w:rPr>
        <w:t>Vegzelma</w:t>
      </w:r>
      <w:r w:rsidRPr="001278B6">
        <w:rPr>
          <w:snapToGrid w:val="0"/>
          <w:lang w:val="da-DK"/>
        </w:rPr>
        <w:t xml:space="preserve"> skal overvejes hos patienter med interne fistler, som ikke dannes i mave</w:t>
      </w:r>
      <w:r w:rsidR="004B3750">
        <w:rPr>
          <w:snapToGrid w:val="0"/>
          <w:lang w:val="da-DK"/>
        </w:rPr>
        <w:noBreakHyphen/>
      </w:r>
      <w:r w:rsidRPr="001278B6">
        <w:rPr>
          <w:snapToGrid w:val="0"/>
          <w:lang w:val="da-DK"/>
        </w:rPr>
        <w:t>tarmkanalen.</w:t>
      </w:r>
    </w:p>
    <w:p w14:paraId="287CDB01" w14:textId="77777777" w:rsidR="003563EF" w:rsidRPr="001278B6" w:rsidRDefault="003563EF" w:rsidP="001278B6">
      <w:pPr>
        <w:pStyle w:val="a3"/>
        <w:widowControl/>
        <w:adjustRightInd w:val="0"/>
        <w:snapToGrid w:val="0"/>
        <w:rPr>
          <w:snapToGrid w:val="0"/>
          <w:lang w:val="da-DK"/>
        </w:rPr>
      </w:pPr>
    </w:p>
    <w:p w14:paraId="58EA7A39"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Sårhelingskomplikationer</w:t>
      </w:r>
      <w:r w:rsidRPr="001278B6">
        <w:rPr>
          <w:i/>
          <w:snapToGrid w:val="0"/>
          <w:lang w:val="da-DK"/>
        </w:rPr>
        <w:t xml:space="preserve"> </w:t>
      </w:r>
      <w:r w:rsidRPr="001278B6">
        <w:rPr>
          <w:snapToGrid w:val="0"/>
          <w:lang w:val="da-DK"/>
        </w:rPr>
        <w:t>(se pkt. 4.8)</w:t>
      </w:r>
    </w:p>
    <w:p w14:paraId="365FB3C6" w14:textId="77777777" w:rsidR="002405CC" w:rsidRDefault="002405CC" w:rsidP="001278B6">
      <w:pPr>
        <w:pStyle w:val="a3"/>
        <w:widowControl/>
        <w:adjustRightInd w:val="0"/>
        <w:snapToGrid w:val="0"/>
        <w:rPr>
          <w:snapToGrid w:val="0"/>
          <w:lang w:val="da-DK"/>
        </w:rPr>
      </w:pPr>
      <w:r>
        <w:rPr>
          <w:snapToGrid w:val="0"/>
          <w:lang w:val="da-DK"/>
        </w:rPr>
        <w:t>Bevacizumab</w:t>
      </w:r>
      <w:r w:rsidR="00473235" w:rsidRPr="001278B6">
        <w:rPr>
          <w:snapToGrid w:val="0"/>
          <w:lang w:val="da-DK"/>
        </w:rPr>
        <w:t xml:space="preserve"> kan påvirke sårhelingen negativt. Der har været rapporteret alvorlige sårhelingskomplikationer, herunder anastomotiske komplikationer, med dødelig udgang. Behandlingen bør tidligst påbegyndes 28 dage efter større operationer, eller efter såret er fuldstændig helet. Hos patienter, som udvikler problemer med sårheling under behandlingen, bør behandlingen seponeres indtil såret er fuldstændig helet. Behandlingen bør midlertidigt stoppes før elektiv kirurgi.</w:t>
      </w:r>
    </w:p>
    <w:p w14:paraId="10808F52" w14:textId="77777777" w:rsidR="002405CC" w:rsidRDefault="002405CC" w:rsidP="001278B6">
      <w:pPr>
        <w:pStyle w:val="a3"/>
        <w:widowControl/>
        <w:adjustRightInd w:val="0"/>
        <w:snapToGrid w:val="0"/>
        <w:rPr>
          <w:snapToGrid w:val="0"/>
          <w:lang w:val="da-DK"/>
        </w:rPr>
      </w:pPr>
    </w:p>
    <w:p w14:paraId="2F06EED8" w14:textId="0B70C4DB"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i sjældne tilfælde rapporteret nekrotiserende fasciitis, inklusive dødelige tilfælde, hos patienter behandlet med </w:t>
      </w:r>
      <w:r w:rsidR="002405CC">
        <w:rPr>
          <w:snapToGrid w:val="0"/>
          <w:lang w:val="da-DK"/>
        </w:rPr>
        <w:t>bevacizumab</w:t>
      </w:r>
      <w:r w:rsidRPr="001278B6">
        <w:rPr>
          <w:snapToGrid w:val="0"/>
          <w:lang w:val="da-DK"/>
        </w:rPr>
        <w:t xml:space="preserve">; dette har som regel været sekundært til sårhelingskomplikationer, gastrointestinal perforation eller fisteldannelse. </w:t>
      </w:r>
      <w:r w:rsidR="00295FBB">
        <w:rPr>
          <w:iCs/>
          <w:snapToGrid w:val="0"/>
          <w:lang w:val="da-DK"/>
        </w:rPr>
        <w:t>Vegzelma</w:t>
      </w:r>
      <w:r w:rsidRPr="001278B6">
        <w:rPr>
          <w:snapToGrid w:val="0"/>
          <w:lang w:val="da-DK"/>
        </w:rPr>
        <w:t xml:space="preserve"> bør seponeres hos patienter, der udvikler nekrotiserende fasciitis og relevant behandling straks påbegyndes.</w:t>
      </w:r>
    </w:p>
    <w:p w14:paraId="380594D5" w14:textId="77777777" w:rsidR="003563EF" w:rsidRPr="001278B6" w:rsidRDefault="003563EF" w:rsidP="001278B6">
      <w:pPr>
        <w:pStyle w:val="a3"/>
        <w:widowControl/>
        <w:adjustRightInd w:val="0"/>
        <w:snapToGrid w:val="0"/>
        <w:rPr>
          <w:snapToGrid w:val="0"/>
          <w:lang w:val="da-DK"/>
        </w:rPr>
      </w:pPr>
    </w:p>
    <w:p w14:paraId="492B8A57"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 xml:space="preserve">Hypertension </w:t>
      </w:r>
      <w:r w:rsidRPr="001278B6">
        <w:rPr>
          <w:snapToGrid w:val="0"/>
          <w:lang w:val="da-DK"/>
        </w:rPr>
        <w:t>(se pkt. 4.8)</w:t>
      </w:r>
    </w:p>
    <w:p w14:paraId="26671914" w14:textId="003CCD1F"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observeret øget forekomst af hypertension hos </w:t>
      </w:r>
      <w:r w:rsidR="00A937F7">
        <w:rPr>
          <w:snapToGrid w:val="0"/>
          <w:lang w:val="da-DK"/>
        </w:rPr>
        <w:t>bevacizumab</w:t>
      </w:r>
      <w:r w:rsidRPr="001278B6">
        <w:rPr>
          <w:snapToGrid w:val="0"/>
          <w:lang w:val="da-DK"/>
        </w:rPr>
        <w:t xml:space="preserve">behandlede patienter. Kliniske sikkerhedsdata tyder på, at hyppigheden af hypertension sandsynligvis er dosisafhængig. Allerede eksisterende hypertension skal være tilstrækkelig kontrolleret, inden </w:t>
      </w:r>
      <w:r w:rsidR="00295FBB">
        <w:rPr>
          <w:iCs/>
          <w:snapToGrid w:val="0"/>
          <w:lang w:val="da-DK"/>
        </w:rPr>
        <w:t>Vegzelma</w:t>
      </w:r>
      <w:r w:rsidR="004B3750">
        <w:rPr>
          <w:snapToGrid w:val="0"/>
          <w:lang w:val="da-DK"/>
        </w:rPr>
        <w:noBreakHyphen/>
      </w:r>
      <w:r w:rsidRPr="001278B6">
        <w:rPr>
          <w:snapToGrid w:val="0"/>
          <w:lang w:val="da-DK"/>
        </w:rPr>
        <w:t xml:space="preserve">behandling påbegyndes. Der foreligger ingen information om effekten af </w:t>
      </w:r>
      <w:r w:rsidR="00A937F7">
        <w:rPr>
          <w:snapToGrid w:val="0"/>
          <w:lang w:val="da-DK"/>
        </w:rPr>
        <w:t>bevacizumab</w:t>
      </w:r>
      <w:r w:rsidRPr="001278B6">
        <w:rPr>
          <w:snapToGrid w:val="0"/>
          <w:lang w:val="da-DK"/>
        </w:rPr>
        <w:t xml:space="preserve"> hos patienter, der har ukontrolleret hypertension ved behandlingens påbegyndelse. Det anbefales at kontrollere blodtrykket under behandlingen.</w:t>
      </w:r>
    </w:p>
    <w:p w14:paraId="5C39D633" w14:textId="77777777" w:rsidR="003563EF" w:rsidRPr="001278B6" w:rsidRDefault="003563EF" w:rsidP="001278B6">
      <w:pPr>
        <w:pStyle w:val="a3"/>
        <w:widowControl/>
        <w:adjustRightInd w:val="0"/>
        <w:snapToGrid w:val="0"/>
        <w:rPr>
          <w:snapToGrid w:val="0"/>
          <w:lang w:val="da-DK"/>
        </w:rPr>
      </w:pPr>
    </w:p>
    <w:p w14:paraId="31DB5CBD" w14:textId="3795BD48" w:rsidR="003563EF" w:rsidRPr="001278B6" w:rsidRDefault="00473235" w:rsidP="001278B6">
      <w:pPr>
        <w:pStyle w:val="a3"/>
        <w:widowControl/>
        <w:adjustRightInd w:val="0"/>
        <w:snapToGrid w:val="0"/>
        <w:rPr>
          <w:snapToGrid w:val="0"/>
          <w:lang w:val="da-DK"/>
        </w:rPr>
      </w:pPr>
      <w:r w:rsidRPr="001278B6">
        <w:rPr>
          <w:snapToGrid w:val="0"/>
          <w:lang w:val="da-DK"/>
        </w:rPr>
        <w:t xml:space="preserve">I de fleste tilfælde kunne hypertensionen kontrolleres tilstrækkeligt ved anvendelse af standard antihypertensionsbehandling, der er tilpasset den individuelle situation og patient. Diuretika bør ikke anvendes til behandling af hypertension hos patienter, som får cisplatinbaseret kemoterapi. </w:t>
      </w:r>
      <w:r w:rsidR="00295FBB">
        <w:rPr>
          <w:iCs/>
          <w:snapToGrid w:val="0"/>
          <w:lang w:val="da-DK"/>
        </w:rPr>
        <w:t>Vegzelma</w:t>
      </w:r>
      <w:r w:rsidRPr="001278B6">
        <w:rPr>
          <w:snapToGrid w:val="0"/>
          <w:lang w:val="da-DK"/>
        </w:rPr>
        <w:t xml:space="preserve"> skal seponeres permanent, hvis en klinisk signifikant hypertension ikke kan kontrolleres tilstrækkeligt med standard antihypertensionsbehandling, eller hvis patienten udvikler hypertensiv krise eller hypertensiv encefalopati.</w:t>
      </w:r>
    </w:p>
    <w:p w14:paraId="47817BF4" w14:textId="77777777" w:rsidR="003563EF" w:rsidRPr="001278B6" w:rsidRDefault="003563EF" w:rsidP="001278B6">
      <w:pPr>
        <w:pStyle w:val="a3"/>
        <w:widowControl/>
        <w:adjustRightInd w:val="0"/>
        <w:snapToGrid w:val="0"/>
        <w:rPr>
          <w:snapToGrid w:val="0"/>
          <w:lang w:val="da-DK"/>
        </w:rPr>
      </w:pPr>
    </w:p>
    <w:p w14:paraId="4D7D0972"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Posteriort reversibelt encefalopatisyndrom (PRES)</w:t>
      </w:r>
      <w:r w:rsidRPr="001278B6">
        <w:rPr>
          <w:i/>
          <w:snapToGrid w:val="0"/>
          <w:lang w:val="da-DK"/>
        </w:rPr>
        <w:t xml:space="preserve"> </w:t>
      </w:r>
      <w:r w:rsidRPr="001278B6">
        <w:rPr>
          <w:snapToGrid w:val="0"/>
          <w:lang w:val="da-DK"/>
        </w:rPr>
        <w:t>(se pkt. 4.8)</w:t>
      </w:r>
    </w:p>
    <w:p w14:paraId="50E03108" w14:textId="068B54A5" w:rsidR="003563EF" w:rsidRPr="001278B6" w:rsidRDefault="00473235" w:rsidP="001278B6">
      <w:pPr>
        <w:pStyle w:val="a3"/>
        <w:widowControl/>
        <w:adjustRightInd w:val="0"/>
        <w:snapToGrid w:val="0"/>
        <w:rPr>
          <w:snapToGrid w:val="0"/>
          <w:lang w:val="da-DK"/>
        </w:rPr>
      </w:pPr>
      <w:r w:rsidRPr="001278B6">
        <w:rPr>
          <w:snapToGrid w:val="0"/>
          <w:lang w:val="da-DK"/>
        </w:rPr>
        <w:t xml:space="preserve">Der har været sjældne tilfælde af </w:t>
      </w:r>
      <w:r w:rsidR="00A937F7">
        <w:rPr>
          <w:snapToGrid w:val="0"/>
          <w:lang w:val="da-DK"/>
        </w:rPr>
        <w:t>bevacizumab</w:t>
      </w:r>
      <w:r w:rsidRPr="001278B6">
        <w:rPr>
          <w:snapToGrid w:val="0"/>
          <w:lang w:val="da-DK"/>
        </w:rPr>
        <w:t>behandlede patienter, som har udviklet symptomer, der stemmer overens med PRES, en sjælden neurologisk forstyrrelse, som kan optræde med blandt andre følgende tegn og symptomer: Kramper, hovedpine, forandret mental status, visuelle forstyrrelser eller kortikal blindhed, med eller uden tilknyttet hypertension. PRES</w:t>
      </w:r>
      <w:r w:rsidR="004B3750">
        <w:rPr>
          <w:snapToGrid w:val="0"/>
          <w:lang w:val="da-DK"/>
        </w:rPr>
        <w:noBreakHyphen/>
      </w:r>
      <w:r w:rsidRPr="001278B6">
        <w:rPr>
          <w:snapToGrid w:val="0"/>
          <w:lang w:val="da-DK"/>
        </w:rPr>
        <w:t>diagnosen kræver bekræftelse ved en hjernescanning, fortrinsvist magnetisk resonans</w:t>
      </w:r>
      <w:r w:rsidR="004B3750">
        <w:rPr>
          <w:snapToGrid w:val="0"/>
          <w:lang w:val="da-DK"/>
        </w:rPr>
        <w:noBreakHyphen/>
      </w:r>
      <w:r w:rsidRPr="001278B6">
        <w:rPr>
          <w:snapToGrid w:val="0"/>
          <w:lang w:val="da-DK"/>
        </w:rPr>
        <w:t xml:space="preserve"> (MR) skanning. For patienter, der udvikler PRES, anbefales behandling af symptomerne samt kontrol af hypertensionen samtidig med, at </w:t>
      </w:r>
      <w:r w:rsidR="00295FBB">
        <w:rPr>
          <w:iCs/>
          <w:snapToGrid w:val="0"/>
          <w:lang w:val="da-DK"/>
        </w:rPr>
        <w:t>Vegzelma</w:t>
      </w:r>
      <w:r w:rsidR="004B3750">
        <w:rPr>
          <w:snapToGrid w:val="0"/>
          <w:lang w:val="da-DK"/>
        </w:rPr>
        <w:noBreakHyphen/>
      </w:r>
      <w:r w:rsidRPr="001278B6">
        <w:rPr>
          <w:snapToGrid w:val="0"/>
          <w:lang w:val="da-DK"/>
        </w:rPr>
        <w:t xml:space="preserve">behandlingen afbrydes. Sikkerheden ved at genoptage behandlingen med </w:t>
      </w:r>
      <w:r w:rsidR="00A937F7">
        <w:rPr>
          <w:snapToGrid w:val="0"/>
          <w:lang w:val="da-DK"/>
        </w:rPr>
        <w:t>bevacizumab</w:t>
      </w:r>
      <w:r w:rsidRPr="001278B6">
        <w:rPr>
          <w:snapToGrid w:val="0"/>
          <w:lang w:val="da-DK"/>
        </w:rPr>
        <w:t xml:space="preserve"> hos patienter, der tidligere har udviklet PRES, er ikke kendt.</w:t>
      </w:r>
    </w:p>
    <w:p w14:paraId="43C5D8D9" w14:textId="77777777" w:rsidR="003563EF" w:rsidRPr="001278B6" w:rsidRDefault="003563EF" w:rsidP="001278B6">
      <w:pPr>
        <w:pStyle w:val="a3"/>
        <w:widowControl/>
        <w:adjustRightInd w:val="0"/>
        <w:snapToGrid w:val="0"/>
        <w:rPr>
          <w:snapToGrid w:val="0"/>
          <w:lang w:val="da-DK"/>
        </w:rPr>
      </w:pPr>
    </w:p>
    <w:p w14:paraId="181CC79D"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lastRenderedPageBreak/>
        <w:t>Proteinuri</w:t>
      </w:r>
      <w:r w:rsidRPr="001278B6">
        <w:rPr>
          <w:i/>
          <w:snapToGrid w:val="0"/>
          <w:lang w:val="da-DK"/>
        </w:rPr>
        <w:t xml:space="preserve"> </w:t>
      </w:r>
      <w:r w:rsidRPr="001278B6">
        <w:rPr>
          <w:snapToGrid w:val="0"/>
          <w:lang w:val="da-DK"/>
        </w:rPr>
        <w:t>(se pkt. 4.8)</w:t>
      </w:r>
    </w:p>
    <w:p w14:paraId="23229027"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som tidligere har haft hypertension, kan have øget risiko for at udvikle proteinuri, når de behandles med </w:t>
      </w:r>
      <w:r w:rsidR="00A937F7">
        <w:rPr>
          <w:snapToGrid w:val="0"/>
          <w:lang w:val="da-DK"/>
        </w:rPr>
        <w:t>bevacizumab</w:t>
      </w:r>
      <w:r w:rsidRPr="001278B6">
        <w:rPr>
          <w:snapToGrid w:val="0"/>
          <w:lang w:val="da-DK"/>
        </w:rPr>
        <w:t>. Der er evidens for, at alle grader af proteinuri (</w:t>
      </w:r>
      <w:r w:rsidRPr="001278B6">
        <w:rPr>
          <w:i/>
          <w:snapToGrid w:val="0"/>
          <w:lang w:val="da-DK"/>
        </w:rPr>
        <w:t>US National Cancer Institute</w:t>
      </w:r>
      <w:r w:rsidR="004B3750">
        <w:rPr>
          <w:i/>
          <w:snapToGrid w:val="0"/>
          <w:lang w:val="da-DK"/>
        </w:rPr>
        <w:noBreakHyphen/>
      </w:r>
      <w:r w:rsidRPr="001278B6">
        <w:rPr>
          <w:i/>
          <w:snapToGrid w:val="0"/>
          <w:lang w:val="da-DK"/>
        </w:rPr>
        <w:t xml:space="preserve">Common Terminology Criteria for Adverse Event </w:t>
      </w:r>
      <w:r w:rsidRPr="001278B6">
        <w:rPr>
          <w:snapToGrid w:val="0"/>
          <w:lang w:val="da-DK"/>
        </w:rPr>
        <w:t>[NCI</w:t>
      </w:r>
      <w:r w:rsidR="004B3750">
        <w:rPr>
          <w:snapToGrid w:val="0"/>
          <w:lang w:val="da-DK"/>
        </w:rPr>
        <w:noBreakHyphen/>
      </w:r>
      <w:r w:rsidRPr="001278B6">
        <w:rPr>
          <w:snapToGrid w:val="0"/>
          <w:lang w:val="da-DK"/>
        </w:rPr>
        <w:t xml:space="preserve">CTCAE v.3]) kan være relateret til dosis. Det anbefales at teste for proteinuri med en urinstix før og under behandlingen. Grad 4 proteinuri (nefrotisk syndrom) blev set hos op til 1,4% af de patienter, som blev behandlet med </w:t>
      </w:r>
      <w:r w:rsidR="00A937F7">
        <w:rPr>
          <w:snapToGrid w:val="0"/>
          <w:lang w:val="da-DK"/>
        </w:rPr>
        <w:t>bevacizumab</w:t>
      </w:r>
      <w:r w:rsidRPr="001278B6">
        <w:rPr>
          <w:snapToGrid w:val="0"/>
          <w:lang w:val="da-DK"/>
        </w:rPr>
        <w:t>.</w:t>
      </w:r>
      <w:r w:rsidR="0070137A">
        <w:rPr>
          <w:snapToGrid w:val="0"/>
          <w:lang w:val="da-DK"/>
        </w:rPr>
        <w:t xml:space="preserve"> </w:t>
      </w:r>
      <w:r w:rsidRPr="001278B6">
        <w:rPr>
          <w:snapToGrid w:val="0"/>
          <w:lang w:val="da-DK"/>
        </w:rPr>
        <w:t>Behandlingen skal seponeres permanent hos patienter, som udvikler nefrotisk syndrom [NCI</w:t>
      </w:r>
      <w:r w:rsidR="004B3750">
        <w:rPr>
          <w:snapToGrid w:val="0"/>
          <w:lang w:val="da-DK"/>
        </w:rPr>
        <w:noBreakHyphen/>
      </w:r>
      <w:r w:rsidRPr="001278B6">
        <w:rPr>
          <w:snapToGrid w:val="0"/>
          <w:lang w:val="da-DK"/>
        </w:rPr>
        <w:t>CTCAE v.3].</w:t>
      </w:r>
    </w:p>
    <w:p w14:paraId="0000F1E7" w14:textId="77777777" w:rsidR="003563EF" w:rsidRPr="001278B6" w:rsidRDefault="003563EF" w:rsidP="001278B6">
      <w:pPr>
        <w:pStyle w:val="a3"/>
        <w:widowControl/>
        <w:adjustRightInd w:val="0"/>
        <w:snapToGrid w:val="0"/>
        <w:rPr>
          <w:snapToGrid w:val="0"/>
          <w:lang w:val="da-DK"/>
        </w:rPr>
      </w:pPr>
    </w:p>
    <w:p w14:paraId="3F4CD434"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Arteriel tromboemboli</w:t>
      </w:r>
      <w:r w:rsidRPr="001278B6">
        <w:rPr>
          <w:i/>
          <w:snapToGrid w:val="0"/>
          <w:lang w:val="da-DK"/>
        </w:rPr>
        <w:t xml:space="preserve"> </w:t>
      </w:r>
      <w:r w:rsidRPr="001278B6">
        <w:rPr>
          <w:snapToGrid w:val="0"/>
          <w:lang w:val="da-DK"/>
        </w:rPr>
        <w:t>(se pkt. 4.8)</w:t>
      </w:r>
    </w:p>
    <w:p w14:paraId="0175ABF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kliniske studier var forekomsten af arterielle tromboemboliske bivirkninger, inklusive cerebrovaskulære tilfælde, transitorisk iskæmisk attak og myokardieinfarkter højere hos patienter, som fik </w:t>
      </w:r>
      <w:r w:rsidR="00A937F7">
        <w:rPr>
          <w:snapToGrid w:val="0"/>
          <w:lang w:val="da-DK"/>
        </w:rPr>
        <w:t>bevacizumab</w:t>
      </w:r>
      <w:r w:rsidRPr="001278B6">
        <w:rPr>
          <w:snapToGrid w:val="0"/>
          <w:lang w:val="da-DK"/>
        </w:rPr>
        <w:t xml:space="preserve"> i kombination med kemoterapi sammenlignet med patienter, som fik kemoterapi alene.</w:t>
      </w:r>
    </w:p>
    <w:p w14:paraId="1A5287D5" w14:textId="77777777" w:rsidR="0079124A" w:rsidRPr="001278B6" w:rsidRDefault="0079124A" w:rsidP="001278B6">
      <w:pPr>
        <w:widowControl/>
        <w:adjustRightInd w:val="0"/>
        <w:snapToGrid w:val="0"/>
        <w:rPr>
          <w:snapToGrid w:val="0"/>
          <w:lang w:val="da-DK"/>
        </w:rPr>
      </w:pPr>
    </w:p>
    <w:p w14:paraId="6B31C833" w14:textId="2A3AE581"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som behandles med </w:t>
      </w:r>
      <w:r w:rsidR="00A937F7">
        <w:rPr>
          <w:snapToGrid w:val="0"/>
          <w:lang w:val="da-DK"/>
        </w:rPr>
        <w:t>bevacizumab</w:t>
      </w:r>
      <w:r w:rsidRPr="001278B6">
        <w:rPr>
          <w:snapToGrid w:val="0"/>
          <w:lang w:val="da-DK"/>
        </w:rPr>
        <w:t xml:space="preserve"> samt kemoterapi, og som har en anamnese med arterielle tromboemboliske hændelser eller, diabetes eller er over 65 år, har en øget risiko for at udvikle arterielle tromboemboliske bivirkninger under behandlingen. Der skal iagttages forsigtighed, når disse patienter behandles med </w:t>
      </w:r>
      <w:r w:rsidR="00295FBB">
        <w:rPr>
          <w:iCs/>
          <w:snapToGrid w:val="0"/>
          <w:lang w:val="da-DK"/>
        </w:rPr>
        <w:t>Vegzelma</w:t>
      </w:r>
      <w:r w:rsidRPr="001278B6">
        <w:rPr>
          <w:snapToGrid w:val="0"/>
          <w:lang w:val="da-DK"/>
        </w:rPr>
        <w:t>.</w:t>
      </w:r>
    </w:p>
    <w:p w14:paraId="6FDA3F5A" w14:textId="77777777" w:rsidR="003563EF" w:rsidRPr="001278B6" w:rsidRDefault="003563EF" w:rsidP="001278B6">
      <w:pPr>
        <w:pStyle w:val="a3"/>
        <w:widowControl/>
        <w:adjustRightInd w:val="0"/>
        <w:snapToGrid w:val="0"/>
        <w:rPr>
          <w:snapToGrid w:val="0"/>
          <w:lang w:val="da-DK"/>
        </w:rPr>
      </w:pPr>
    </w:p>
    <w:p w14:paraId="22BD5ACE" w14:textId="77777777" w:rsidR="003563EF" w:rsidRPr="001278B6" w:rsidRDefault="00473235" w:rsidP="001278B6">
      <w:pPr>
        <w:pStyle w:val="a3"/>
        <w:widowControl/>
        <w:adjustRightInd w:val="0"/>
        <w:snapToGrid w:val="0"/>
        <w:rPr>
          <w:snapToGrid w:val="0"/>
          <w:lang w:val="da-DK"/>
        </w:rPr>
      </w:pPr>
      <w:r w:rsidRPr="001278B6">
        <w:rPr>
          <w:snapToGrid w:val="0"/>
          <w:lang w:val="da-DK"/>
        </w:rPr>
        <w:t>Behandlingen skal seponeres permanent hos patienter, som udvikler arterielle tromboemboliske bivirkninger.</w:t>
      </w:r>
    </w:p>
    <w:p w14:paraId="55515518" w14:textId="77777777" w:rsidR="003563EF" w:rsidRPr="001278B6" w:rsidRDefault="003563EF" w:rsidP="001278B6">
      <w:pPr>
        <w:pStyle w:val="a3"/>
        <w:widowControl/>
        <w:adjustRightInd w:val="0"/>
        <w:snapToGrid w:val="0"/>
        <w:rPr>
          <w:snapToGrid w:val="0"/>
          <w:lang w:val="da-DK"/>
        </w:rPr>
      </w:pPr>
    </w:p>
    <w:p w14:paraId="2C3A65C4"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Venøs tromboemboli</w:t>
      </w:r>
      <w:r w:rsidRPr="001278B6">
        <w:rPr>
          <w:i/>
          <w:snapToGrid w:val="0"/>
          <w:lang w:val="da-DK"/>
        </w:rPr>
        <w:t xml:space="preserve"> </w:t>
      </w:r>
      <w:r w:rsidRPr="001278B6">
        <w:rPr>
          <w:snapToGrid w:val="0"/>
          <w:lang w:val="da-DK"/>
        </w:rPr>
        <w:t>(se pkt. 4.8)</w:t>
      </w:r>
    </w:p>
    <w:p w14:paraId="575EE732"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i </w:t>
      </w:r>
      <w:r w:rsidR="00A937F7">
        <w:rPr>
          <w:snapToGrid w:val="0"/>
          <w:lang w:val="da-DK"/>
        </w:rPr>
        <w:t>bevacizumab</w:t>
      </w:r>
      <w:r w:rsidRPr="001278B6">
        <w:rPr>
          <w:snapToGrid w:val="0"/>
          <w:lang w:val="da-DK"/>
        </w:rPr>
        <w:t>behandling kan have risiko for at udvikle venøse tromboemboliske bivirkninger, herunder lungeemboli.</w:t>
      </w:r>
    </w:p>
    <w:p w14:paraId="6ED83E9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behandlet med </w:t>
      </w:r>
      <w:r w:rsidR="00A937F7">
        <w:rPr>
          <w:snapToGrid w:val="0"/>
          <w:lang w:val="da-DK"/>
        </w:rPr>
        <w:t>bevacizumab</w:t>
      </w:r>
      <w:r w:rsidRPr="001278B6">
        <w:rPr>
          <w:snapToGrid w:val="0"/>
          <w:lang w:val="da-DK"/>
        </w:rPr>
        <w:t xml:space="preserve"> for persisterende, recidiverende eller metastatisk cervixcancer i kombination med paclitaxel og cisplatin, kan have en øget risiko for venøse tromboemboliske bivirkninger.</w:t>
      </w:r>
    </w:p>
    <w:p w14:paraId="78E5B6AA" w14:textId="30835C1B" w:rsidR="003563EF" w:rsidRPr="001278B6" w:rsidRDefault="00295FBB" w:rsidP="001278B6">
      <w:pPr>
        <w:pStyle w:val="a3"/>
        <w:widowControl/>
        <w:adjustRightInd w:val="0"/>
        <w:snapToGrid w:val="0"/>
        <w:rPr>
          <w:snapToGrid w:val="0"/>
          <w:lang w:val="da-DK"/>
        </w:rPr>
      </w:pPr>
      <w:r>
        <w:rPr>
          <w:iCs/>
          <w:snapToGrid w:val="0"/>
          <w:lang w:val="da-DK"/>
        </w:rPr>
        <w:t>Vegzelma</w:t>
      </w:r>
      <w:r w:rsidR="00473235" w:rsidRPr="001278B6">
        <w:rPr>
          <w:snapToGrid w:val="0"/>
          <w:lang w:val="da-DK"/>
        </w:rPr>
        <w:t xml:space="preserve"> skal seponeres hos patienter med livstruende (grad 4) tromboemboliske bivirkninger, herunder lungeemboli (NCI</w:t>
      </w:r>
      <w:r w:rsidR="004B3750">
        <w:rPr>
          <w:snapToGrid w:val="0"/>
          <w:lang w:val="da-DK"/>
        </w:rPr>
        <w:noBreakHyphen/>
      </w:r>
      <w:r w:rsidR="00473235" w:rsidRPr="001278B6">
        <w:rPr>
          <w:snapToGrid w:val="0"/>
          <w:lang w:val="da-DK"/>
        </w:rPr>
        <w:t>CTCAE v. 3). Patienter med tromboemboliske bivirkninger ≤ grad 3 (NCI</w:t>
      </w:r>
      <w:r w:rsidR="004B3750">
        <w:rPr>
          <w:snapToGrid w:val="0"/>
          <w:lang w:val="da-DK"/>
        </w:rPr>
        <w:noBreakHyphen/>
      </w:r>
      <w:r w:rsidR="00473235" w:rsidRPr="001278B6">
        <w:rPr>
          <w:snapToGrid w:val="0"/>
          <w:lang w:val="da-DK"/>
        </w:rPr>
        <w:t>CTCAE</w:t>
      </w:r>
      <w:r w:rsidR="00057E34">
        <w:rPr>
          <w:snapToGrid w:val="0"/>
          <w:lang w:val="da-DK"/>
        </w:rPr>
        <w:t xml:space="preserve"> </w:t>
      </w:r>
      <w:r w:rsidR="00473235" w:rsidRPr="001278B6">
        <w:rPr>
          <w:snapToGrid w:val="0"/>
          <w:lang w:val="da-DK"/>
        </w:rPr>
        <w:t>v. 3) skal monitoreres nøje.</w:t>
      </w:r>
    </w:p>
    <w:p w14:paraId="1F9D7E30" w14:textId="77777777" w:rsidR="003563EF" w:rsidRPr="001278B6" w:rsidRDefault="003563EF" w:rsidP="001278B6">
      <w:pPr>
        <w:pStyle w:val="a3"/>
        <w:widowControl/>
        <w:adjustRightInd w:val="0"/>
        <w:snapToGrid w:val="0"/>
        <w:rPr>
          <w:snapToGrid w:val="0"/>
          <w:lang w:val="da-DK"/>
        </w:rPr>
      </w:pPr>
    </w:p>
    <w:p w14:paraId="77FEB699"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Blødninger</w:t>
      </w:r>
    </w:p>
    <w:p w14:paraId="01B01082" w14:textId="28BABA74"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som behandles med </w:t>
      </w:r>
      <w:r w:rsidR="00F56C20">
        <w:rPr>
          <w:snapToGrid w:val="0"/>
          <w:lang w:val="da-DK"/>
        </w:rPr>
        <w:t>bevacizumab</w:t>
      </w:r>
      <w:r w:rsidRPr="001278B6">
        <w:rPr>
          <w:snapToGrid w:val="0"/>
          <w:lang w:val="da-DK"/>
        </w:rPr>
        <w:t xml:space="preserve">, har en øget risiko for at udvikle blødning, særligt tumorassocieret blødning. </w:t>
      </w:r>
      <w:r w:rsidR="00295FBB">
        <w:rPr>
          <w:iCs/>
          <w:snapToGrid w:val="0"/>
          <w:lang w:val="da-DK"/>
        </w:rPr>
        <w:t>Vegzelma</w:t>
      </w:r>
      <w:r w:rsidRPr="001278B6">
        <w:rPr>
          <w:snapToGrid w:val="0"/>
          <w:lang w:val="da-DK"/>
        </w:rPr>
        <w:t xml:space="preserve"> bør seponeres permanent hos patienter, som får grad 3 eller 4 blødninger (NCI</w:t>
      </w:r>
      <w:r w:rsidR="004B3750">
        <w:rPr>
          <w:snapToGrid w:val="0"/>
          <w:lang w:val="da-DK"/>
        </w:rPr>
        <w:noBreakHyphen/>
      </w:r>
      <w:r w:rsidRPr="001278B6">
        <w:rPr>
          <w:snapToGrid w:val="0"/>
          <w:lang w:val="da-DK"/>
        </w:rPr>
        <w:t xml:space="preserve">CTCAE v. 3) under behandlingen med </w:t>
      </w:r>
      <w:r w:rsidR="00295FBB">
        <w:rPr>
          <w:iCs/>
          <w:snapToGrid w:val="0"/>
          <w:lang w:val="da-DK"/>
        </w:rPr>
        <w:t>Vegzelma</w:t>
      </w:r>
      <w:r w:rsidRPr="001278B6">
        <w:rPr>
          <w:snapToGrid w:val="0"/>
          <w:lang w:val="da-DK"/>
        </w:rPr>
        <w:t xml:space="preserve"> (se pkt. 4.8).</w:t>
      </w:r>
    </w:p>
    <w:p w14:paraId="5A7607B1" w14:textId="77777777" w:rsidR="003563EF" w:rsidRPr="001278B6" w:rsidRDefault="003563EF" w:rsidP="001278B6">
      <w:pPr>
        <w:pStyle w:val="a3"/>
        <w:widowControl/>
        <w:adjustRightInd w:val="0"/>
        <w:snapToGrid w:val="0"/>
        <w:rPr>
          <w:snapToGrid w:val="0"/>
          <w:lang w:val="da-DK"/>
        </w:rPr>
      </w:pPr>
    </w:p>
    <w:p w14:paraId="7D12018B" w14:textId="1E8FB063" w:rsidR="003563EF" w:rsidRPr="001278B6" w:rsidRDefault="00473235" w:rsidP="001278B6">
      <w:pPr>
        <w:pStyle w:val="a3"/>
        <w:widowControl/>
        <w:adjustRightInd w:val="0"/>
        <w:snapToGrid w:val="0"/>
        <w:rPr>
          <w:snapToGrid w:val="0"/>
          <w:lang w:val="da-DK"/>
        </w:rPr>
      </w:pPr>
      <w:r w:rsidRPr="001278B6">
        <w:rPr>
          <w:snapToGrid w:val="0"/>
          <w:lang w:val="da-DK"/>
        </w:rPr>
        <w:t>Patienter med ubehandlede CNS</w:t>
      </w:r>
      <w:r w:rsidR="004B3750">
        <w:rPr>
          <w:snapToGrid w:val="0"/>
          <w:lang w:val="da-DK"/>
        </w:rPr>
        <w:noBreakHyphen/>
      </w:r>
      <w:r w:rsidRPr="001278B6">
        <w:rPr>
          <w:snapToGrid w:val="0"/>
          <w:lang w:val="da-DK"/>
        </w:rPr>
        <w:t xml:space="preserve">metastaser, verificeret ved billeddiagnostik eller tegn og symptomer, er rutinemæssigt blevet udeladt af kliniske studier med </w:t>
      </w:r>
      <w:r w:rsidR="00F56C20">
        <w:rPr>
          <w:snapToGrid w:val="0"/>
          <w:lang w:val="da-DK"/>
        </w:rPr>
        <w:t>bevacizumab</w:t>
      </w:r>
      <w:r w:rsidRPr="001278B6">
        <w:rPr>
          <w:snapToGrid w:val="0"/>
          <w:lang w:val="da-DK"/>
        </w:rPr>
        <w:t>. Derfor er risikoen for CNS</w:t>
      </w:r>
      <w:r w:rsidR="004B3750">
        <w:rPr>
          <w:snapToGrid w:val="0"/>
          <w:lang w:val="da-DK"/>
        </w:rPr>
        <w:noBreakHyphen/>
      </w:r>
      <w:r w:rsidRPr="001278B6">
        <w:rPr>
          <w:snapToGrid w:val="0"/>
          <w:lang w:val="da-DK"/>
        </w:rPr>
        <w:t>blødning hos disse patienter ikke blevet undersøgt prospektivt i randomiserede kliniske studier (se pkt. 4.8).</w:t>
      </w:r>
      <w:r w:rsidR="00D46D4A">
        <w:rPr>
          <w:snapToGrid w:val="0"/>
          <w:lang w:val="da-DK"/>
        </w:rPr>
        <w:t xml:space="preserve"> </w:t>
      </w:r>
      <w:r w:rsidRPr="001278B6">
        <w:rPr>
          <w:snapToGrid w:val="0"/>
          <w:lang w:val="da-DK"/>
        </w:rPr>
        <w:t>Patienter skal overvåges for tegn og symptomer på CNS</w:t>
      </w:r>
      <w:r w:rsidR="004B3750">
        <w:rPr>
          <w:snapToGrid w:val="0"/>
          <w:lang w:val="da-DK"/>
        </w:rPr>
        <w:noBreakHyphen/>
      </w:r>
      <w:r w:rsidRPr="001278B6">
        <w:rPr>
          <w:snapToGrid w:val="0"/>
          <w:lang w:val="da-DK"/>
        </w:rPr>
        <w:t xml:space="preserve">blødning, og behandling med </w:t>
      </w:r>
      <w:r w:rsidR="00295FBB">
        <w:rPr>
          <w:iCs/>
          <w:snapToGrid w:val="0"/>
          <w:lang w:val="da-DK"/>
        </w:rPr>
        <w:t>Vegzelma</w:t>
      </w:r>
      <w:r w:rsidRPr="001278B6">
        <w:rPr>
          <w:snapToGrid w:val="0"/>
          <w:lang w:val="da-DK"/>
        </w:rPr>
        <w:t xml:space="preserve"> skal seponeres i tilfælde af intrakranial blødning.</w:t>
      </w:r>
    </w:p>
    <w:p w14:paraId="36D22616" w14:textId="77777777" w:rsidR="003563EF" w:rsidRPr="001278B6" w:rsidRDefault="003563EF" w:rsidP="001278B6">
      <w:pPr>
        <w:pStyle w:val="a3"/>
        <w:widowControl/>
        <w:adjustRightInd w:val="0"/>
        <w:snapToGrid w:val="0"/>
        <w:rPr>
          <w:snapToGrid w:val="0"/>
          <w:lang w:val="da-DK"/>
        </w:rPr>
      </w:pPr>
    </w:p>
    <w:p w14:paraId="370BE5BF"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findes ingen informationer om sikkerhedsprofilen af </w:t>
      </w:r>
      <w:r w:rsidR="00F56C20">
        <w:rPr>
          <w:snapToGrid w:val="0"/>
          <w:lang w:val="da-DK"/>
        </w:rPr>
        <w:t>bevacizumab</w:t>
      </w:r>
      <w:r w:rsidRPr="001278B6">
        <w:rPr>
          <w:snapToGrid w:val="0"/>
          <w:lang w:val="da-DK"/>
        </w:rPr>
        <w:t xml:space="preserve"> hos patienter med kongenit hæmoragisk diatese, erhvervet koagulationsdefekt eller hos patienter, som får fuld dosis af antikoagulantia for behandling af tromboemboli, før behandlingen med </w:t>
      </w:r>
      <w:r w:rsidR="00F56C20">
        <w:rPr>
          <w:snapToGrid w:val="0"/>
          <w:lang w:val="da-DK"/>
        </w:rPr>
        <w:t>bevacizumab</w:t>
      </w:r>
      <w:r w:rsidRPr="001278B6">
        <w:rPr>
          <w:snapToGrid w:val="0"/>
          <w:lang w:val="da-DK"/>
        </w:rPr>
        <w:t xml:space="preserve"> påbegyndes, da sådanne patienter ikke indgik i de kliniske studier. Der skal derfor iagttages forsigtighed, før behandlingen påbegyndes hos disse patienter. Patienter, der udviklede venøs trombose under behandlingen, så dog ikke ud til at have en øget risiko for udvikling af blødning af grad 3 eller derover (NCI</w:t>
      </w:r>
      <w:r w:rsidR="004B3750">
        <w:rPr>
          <w:snapToGrid w:val="0"/>
          <w:lang w:val="da-DK"/>
        </w:rPr>
        <w:noBreakHyphen/>
      </w:r>
      <w:r w:rsidRPr="001278B6">
        <w:rPr>
          <w:snapToGrid w:val="0"/>
          <w:lang w:val="da-DK"/>
        </w:rPr>
        <w:t>CTCAE v. 3), når de blev behandlet med en fuld warfarin</w:t>
      </w:r>
      <w:r w:rsidR="004B3750">
        <w:rPr>
          <w:snapToGrid w:val="0"/>
          <w:lang w:val="da-DK"/>
        </w:rPr>
        <w:noBreakHyphen/>
      </w:r>
      <w:r w:rsidRPr="001278B6">
        <w:rPr>
          <w:snapToGrid w:val="0"/>
          <w:lang w:val="da-DK"/>
        </w:rPr>
        <w:t xml:space="preserve">dosis og </w:t>
      </w:r>
      <w:r w:rsidR="00F56C20">
        <w:rPr>
          <w:snapToGrid w:val="0"/>
          <w:lang w:val="da-DK"/>
        </w:rPr>
        <w:t>bevacizumab</w:t>
      </w:r>
      <w:r w:rsidRPr="001278B6">
        <w:rPr>
          <w:snapToGrid w:val="0"/>
          <w:lang w:val="da-DK"/>
        </w:rPr>
        <w:t xml:space="preserve"> samtidigt.</w:t>
      </w:r>
    </w:p>
    <w:p w14:paraId="5E799C5D" w14:textId="77777777" w:rsidR="003563EF" w:rsidRPr="001278B6" w:rsidRDefault="003563EF" w:rsidP="001278B6">
      <w:pPr>
        <w:pStyle w:val="a3"/>
        <w:widowControl/>
        <w:adjustRightInd w:val="0"/>
        <w:snapToGrid w:val="0"/>
        <w:rPr>
          <w:snapToGrid w:val="0"/>
          <w:lang w:val="da-DK"/>
        </w:rPr>
      </w:pPr>
    </w:p>
    <w:p w14:paraId="7A707CAA"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Pulmonal blødning/hæmoptyse</w:t>
      </w:r>
    </w:p>
    <w:p w14:paraId="486B80A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 med </w:t>
      </w:r>
      <w:r w:rsidR="000C0C7D">
        <w:rPr>
          <w:snapToGrid w:val="0"/>
          <w:lang w:val="da-DK"/>
        </w:rPr>
        <w:t>NSCLC</w:t>
      </w:r>
      <w:r w:rsidR="000C0C7D" w:rsidRPr="001278B6" w:rsidDel="000C0C7D">
        <w:rPr>
          <w:snapToGrid w:val="0"/>
          <w:lang w:val="da-DK"/>
        </w:rPr>
        <w:t xml:space="preserve"> </w:t>
      </w:r>
      <w:r w:rsidRPr="001278B6">
        <w:rPr>
          <w:snapToGrid w:val="0"/>
          <w:lang w:val="da-DK"/>
        </w:rPr>
        <w:t xml:space="preserve">, som behandles med </w:t>
      </w:r>
      <w:r w:rsidR="00F56C20">
        <w:rPr>
          <w:snapToGrid w:val="0"/>
          <w:lang w:val="da-DK"/>
        </w:rPr>
        <w:t>bevacizumab</w:t>
      </w:r>
      <w:r w:rsidRPr="001278B6">
        <w:rPr>
          <w:snapToGrid w:val="0"/>
          <w:lang w:val="da-DK"/>
        </w:rPr>
        <w:t>, kan have risiko for svære og i visse tilfælde dødelige pulmonale blødninger/hæmoptyse. Patienter med nylig pulmonal blødning/hæmoptyse (&gt; 2,5</w:t>
      </w:r>
      <w:r w:rsidR="000C0C7D">
        <w:rPr>
          <w:snapToGrid w:val="0"/>
          <w:lang w:val="da-DK"/>
        </w:rPr>
        <w:t> ml</w:t>
      </w:r>
      <w:r w:rsidRPr="001278B6">
        <w:rPr>
          <w:snapToGrid w:val="0"/>
          <w:lang w:val="da-DK"/>
        </w:rPr>
        <w:t xml:space="preserve"> rødt blod) bør ikke behandles med </w:t>
      </w:r>
      <w:r w:rsidR="00F56C20">
        <w:rPr>
          <w:snapToGrid w:val="0"/>
          <w:lang w:val="da-DK"/>
        </w:rPr>
        <w:t>bevacizumab</w:t>
      </w:r>
      <w:r w:rsidRPr="001278B6">
        <w:rPr>
          <w:snapToGrid w:val="0"/>
          <w:lang w:val="da-DK"/>
        </w:rPr>
        <w:t>.</w:t>
      </w:r>
    </w:p>
    <w:p w14:paraId="5F32E938" w14:textId="77777777" w:rsidR="003563EF" w:rsidRPr="001278B6" w:rsidRDefault="003563EF" w:rsidP="001278B6">
      <w:pPr>
        <w:pStyle w:val="a3"/>
        <w:widowControl/>
        <w:adjustRightInd w:val="0"/>
        <w:snapToGrid w:val="0"/>
        <w:rPr>
          <w:snapToGrid w:val="0"/>
          <w:lang w:val="da-DK"/>
        </w:rPr>
      </w:pPr>
    </w:p>
    <w:p w14:paraId="3F29FAC9"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lastRenderedPageBreak/>
        <w:t>Aneurismer og arterielle dissektioner</w:t>
      </w:r>
    </w:p>
    <w:p w14:paraId="4886CB02" w14:textId="096E7AF1" w:rsidR="003563EF" w:rsidRPr="001278B6" w:rsidRDefault="00473235" w:rsidP="001278B6">
      <w:pPr>
        <w:pStyle w:val="a3"/>
        <w:widowControl/>
        <w:adjustRightInd w:val="0"/>
        <w:snapToGrid w:val="0"/>
        <w:rPr>
          <w:snapToGrid w:val="0"/>
          <w:lang w:val="da-DK"/>
        </w:rPr>
      </w:pPr>
      <w:r w:rsidRPr="001278B6">
        <w:rPr>
          <w:snapToGrid w:val="0"/>
          <w:lang w:val="da-DK"/>
        </w:rPr>
        <w:t>Brug af VEGF</w:t>
      </w:r>
      <w:r w:rsidR="004B3750">
        <w:rPr>
          <w:snapToGrid w:val="0"/>
          <w:lang w:val="da-DK"/>
        </w:rPr>
        <w:noBreakHyphen/>
      </w:r>
      <w:r w:rsidRPr="001278B6">
        <w:rPr>
          <w:snapToGrid w:val="0"/>
          <w:lang w:val="da-DK"/>
        </w:rPr>
        <w:t xml:space="preserve">hæmmere hos patienter med eller uden hypertension kan fremme dannelse af aneurismer og/eller arterielle dissektioner. Inden indledning af behandling med </w:t>
      </w:r>
      <w:r w:rsidR="00295FBB">
        <w:rPr>
          <w:iCs/>
          <w:snapToGrid w:val="0"/>
          <w:lang w:val="da-DK"/>
        </w:rPr>
        <w:t>Vegzelma</w:t>
      </w:r>
      <w:r w:rsidRPr="001278B6">
        <w:rPr>
          <w:snapToGrid w:val="0"/>
          <w:lang w:val="da-DK"/>
        </w:rPr>
        <w:t xml:space="preserve"> bør denne risiko overvejes nøje for patienter med risikofaktorer såsom hypertension eller tidligere aneurisme.</w:t>
      </w:r>
    </w:p>
    <w:p w14:paraId="7626EB55" w14:textId="77777777" w:rsidR="003563EF" w:rsidRPr="001278B6" w:rsidRDefault="003563EF" w:rsidP="001278B6">
      <w:pPr>
        <w:pStyle w:val="a3"/>
        <w:widowControl/>
        <w:adjustRightInd w:val="0"/>
        <w:snapToGrid w:val="0"/>
        <w:rPr>
          <w:snapToGrid w:val="0"/>
          <w:lang w:val="da-DK"/>
        </w:rPr>
      </w:pPr>
    </w:p>
    <w:p w14:paraId="4E1F1364" w14:textId="77777777" w:rsidR="003563EF" w:rsidRPr="003C63FB" w:rsidRDefault="00473235" w:rsidP="001278B6">
      <w:pPr>
        <w:keepNext/>
        <w:keepLines/>
        <w:widowControl/>
        <w:adjustRightInd w:val="0"/>
        <w:snapToGrid w:val="0"/>
        <w:jc w:val="both"/>
        <w:rPr>
          <w:snapToGrid w:val="0"/>
          <w:lang w:val="fr-FR"/>
        </w:rPr>
      </w:pPr>
      <w:r w:rsidRPr="00F466A3">
        <w:rPr>
          <w:iCs/>
          <w:snapToGrid w:val="0"/>
          <w:u w:val="single"/>
          <w:lang w:val="fr-FR"/>
        </w:rPr>
        <w:t>Kongestiv hjerteinsufficiens (CHF)</w:t>
      </w:r>
      <w:r w:rsidRPr="003C63FB">
        <w:rPr>
          <w:i/>
          <w:snapToGrid w:val="0"/>
          <w:lang w:val="fr-FR"/>
        </w:rPr>
        <w:t xml:space="preserve"> </w:t>
      </w:r>
      <w:r w:rsidRPr="003C63FB">
        <w:rPr>
          <w:snapToGrid w:val="0"/>
          <w:lang w:val="fr-FR"/>
        </w:rPr>
        <w:t>(se pkt. 4.8)</w:t>
      </w:r>
    </w:p>
    <w:p w14:paraId="1937B261" w14:textId="4B925E9E" w:rsidR="003563EF" w:rsidRPr="001278B6" w:rsidRDefault="00473235" w:rsidP="001278B6">
      <w:pPr>
        <w:pStyle w:val="a3"/>
        <w:widowControl/>
        <w:adjustRightInd w:val="0"/>
        <w:snapToGrid w:val="0"/>
        <w:rPr>
          <w:snapToGrid w:val="0"/>
          <w:lang w:val="da-DK"/>
        </w:rPr>
      </w:pPr>
      <w:r w:rsidRPr="001278B6">
        <w:rPr>
          <w:snapToGrid w:val="0"/>
          <w:lang w:val="da-DK"/>
        </w:rPr>
        <w:t xml:space="preserve">Bivirkninger, som er forenelige med CHF, er rapporteret i kliniske studier. Fundene spændte fra asymptomatisk fald i venstre ventrikels uddrivningsfraktion til symptomatisk CHF, der krævede behandling eller indlæggelse. Der bør udvises forsigtighed, når patienter med klinisk signifikant hjertesygdom, såsom hjertekarsygdom eller </w:t>
      </w:r>
      <w:r w:rsidR="004E1346">
        <w:rPr>
          <w:snapToGrid w:val="0"/>
          <w:lang w:val="da-DK"/>
        </w:rPr>
        <w:t>CHF</w:t>
      </w:r>
      <w:r w:rsidRPr="001278B6">
        <w:rPr>
          <w:snapToGrid w:val="0"/>
          <w:lang w:val="da-DK"/>
        </w:rPr>
        <w:t xml:space="preserve">, behandles med </w:t>
      </w:r>
      <w:r w:rsidR="00D06DDB">
        <w:rPr>
          <w:snapToGrid w:val="0"/>
          <w:lang w:val="da-DK"/>
        </w:rPr>
        <w:t>bevacizumab</w:t>
      </w:r>
      <w:r w:rsidRPr="001278B6">
        <w:rPr>
          <w:snapToGrid w:val="0"/>
          <w:lang w:val="da-DK"/>
        </w:rPr>
        <w:t>.</w:t>
      </w:r>
    </w:p>
    <w:p w14:paraId="08C2FEEB" w14:textId="77777777" w:rsidR="003563EF" w:rsidRPr="001278B6" w:rsidRDefault="003563EF" w:rsidP="001278B6">
      <w:pPr>
        <w:pStyle w:val="a3"/>
        <w:widowControl/>
        <w:adjustRightInd w:val="0"/>
        <w:snapToGrid w:val="0"/>
        <w:rPr>
          <w:snapToGrid w:val="0"/>
          <w:lang w:val="da-DK"/>
        </w:rPr>
      </w:pPr>
    </w:p>
    <w:p w14:paraId="3BBA4261" w14:textId="77777777" w:rsidR="003563EF" w:rsidRPr="001278B6" w:rsidRDefault="00473235" w:rsidP="001278B6">
      <w:pPr>
        <w:pStyle w:val="a3"/>
        <w:widowControl/>
        <w:adjustRightInd w:val="0"/>
        <w:snapToGrid w:val="0"/>
        <w:rPr>
          <w:snapToGrid w:val="0"/>
          <w:lang w:val="da-DK"/>
        </w:rPr>
      </w:pPr>
      <w:r w:rsidRPr="001278B6">
        <w:rPr>
          <w:snapToGrid w:val="0"/>
          <w:lang w:val="da-DK"/>
        </w:rPr>
        <w:t>De fleste patienter, som fik CHF, havde metastatisk brystkræft og var tidligere behandlet med antracykliner, havde fået strålebehandling af venstre brystvæg eller havde andre risikofaktorer for CHF.</w:t>
      </w:r>
    </w:p>
    <w:p w14:paraId="7391683D" w14:textId="77777777" w:rsidR="0079124A" w:rsidRPr="001278B6" w:rsidRDefault="0079124A" w:rsidP="001278B6">
      <w:pPr>
        <w:widowControl/>
        <w:adjustRightInd w:val="0"/>
        <w:snapToGrid w:val="0"/>
        <w:rPr>
          <w:snapToGrid w:val="0"/>
          <w:lang w:val="da-DK"/>
        </w:rPr>
      </w:pPr>
    </w:p>
    <w:p w14:paraId="2C58E6AB" w14:textId="77777777" w:rsidR="003563EF" w:rsidRPr="001278B6" w:rsidRDefault="00473235" w:rsidP="001278B6">
      <w:pPr>
        <w:pStyle w:val="a3"/>
        <w:widowControl/>
        <w:adjustRightInd w:val="0"/>
        <w:snapToGrid w:val="0"/>
        <w:rPr>
          <w:snapToGrid w:val="0"/>
          <w:lang w:val="da-DK"/>
        </w:rPr>
      </w:pPr>
      <w:r w:rsidRPr="001278B6">
        <w:rPr>
          <w:snapToGrid w:val="0"/>
          <w:lang w:val="da-DK"/>
        </w:rPr>
        <w:t>Hos patienter i AVF3694g, som blev behandlet med antracykliner, og som ikke havde været behandlet med antracykliner tidligere, blev der ikke observeret øget hyppighed af CHF (alle grader) i gruppen, som blev behandlet med antracyklin + bevacizumab, sammenlignet med gruppen, som blev behandlet med antracykliner alene. CHF</w:t>
      </w:r>
      <w:r w:rsidR="004B3750">
        <w:rPr>
          <w:snapToGrid w:val="0"/>
          <w:lang w:val="da-DK"/>
        </w:rPr>
        <w:noBreakHyphen/>
      </w:r>
      <w:r w:rsidRPr="001278B6">
        <w:rPr>
          <w:snapToGrid w:val="0"/>
          <w:lang w:val="da-DK"/>
        </w:rPr>
        <w:t>bivirkninger af grad 3 eller højere var lidt hyppigere hos patienter i behandling med bevacizumab i kombination med kemoterapi end hos patienter, som blev behandlet med kemoterapi alene. Dette er i overensstemmelse med resultater i andre studier af metastatisk brystkræft hos patienter, som ikke fik samtidig behandling med antracykliner (NCI</w:t>
      </w:r>
      <w:r w:rsidR="004B3750">
        <w:rPr>
          <w:snapToGrid w:val="0"/>
          <w:lang w:val="da-DK"/>
        </w:rPr>
        <w:noBreakHyphen/>
      </w:r>
      <w:r w:rsidRPr="001278B6">
        <w:rPr>
          <w:snapToGrid w:val="0"/>
          <w:lang w:val="da-DK"/>
        </w:rPr>
        <w:t>CTCAE v. 3) (se pkt.</w:t>
      </w:r>
      <w:r w:rsidR="00157F65">
        <w:rPr>
          <w:snapToGrid w:val="0"/>
          <w:lang w:val="da-DK"/>
        </w:rPr>
        <w:t> </w:t>
      </w:r>
      <w:r w:rsidRPr="001278B6">
        <w:rPr>
          <w:snapToGrid w:val="0"/>
          <w:lang w:val="da-DK"/>
        </w:rPr>
        <w:t>4.8).</w:t>
      </w:r>
    </w:p>
    <w:p w14:paraId="6996075C" w14:textId="77777777" w:rsidR="003563EF" w:rsidRPr="001278B6" w:rsidRDefault="003563EF" w:rsidP="001278B6">
      <w:pPr>
        <w:pStyle w:val="a3"/>
        <w:widowControl/>
        <w:adjustRightInd w:val="0"/>
        <w:snapToGrid w:val="0"/>
        <w:rPr>
          <w:snapToGrid w:val="0"/>
          <w:lang w:val="da-DK"/>
        </w:rPr>
      </w:pPr>
    </w:p>
    <w:p w14:paraId="3BA53B13" w14:textId="77777777"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Neutropeni og infektioner</w:t>
      </w:r>
      <w:r w:rsidRPr="001278B6">
        <w:rPr>
          <w:i/>
          <w:snapToGrid w:val="0"/>
          <w:lang w:val="da-DK"/>
        </w:rPr>
        <w:t xml:space="preserve"> </w:t>
      </w:r>
      <w:r w:rsidRPr="001278B6">
        <w:rPr>
          <w:snapToGrid w:val="0"/>
          <w:lang w:val="da-DK"/>
        </w:rPr>
        <w:t>(se pkt. 4.8)</w:t>
      </w:r>
    </w:p>
    <w:p w14:paraId="4CD81BE6"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observeret en øget hyppighed af alvorlig neutropeni, febril neutropeni eller infektion med eller uden alvorlig neutropeni (herunder nogle dødsfald) hos patienter, som blev behandlet med visse myelotoksiske kemoterapiregimer plus </w:t>
      </w:r>
      <w:r w:rsidR="00F56C20">
        <w:rPr>
          <w:snapToGrid w:val="0"/>
          <w:lang w:val="da-DK"/>
        </w:rPr>
        <w:t>bevacizumab</w:t>
      </w:r>
      <w:r w:rsidRPr="001278B6">
        <w:rPr>
          <w:snapToGrid w:val="0"/>
          <w:lang w:val="da-DK"/>
        </w:rPr>
        <w:t xml:space="preserve"> i forhold til kemoterapi alene. Dette er hovedsageligt blevet observeret i kombination med platin</w:t>
      </w:r>
      <w:r w:rsidR="004B3750">
        <w:rPr>
          <w:snapToGrid w:val="0"/>
          <w:lang w:val="da-DK"/>
        </w:rPr>
        <w:noBreakHyphen/>
      </w:r>
      <w:r w:rsidRPr="001278B6">
        <w:rPr>
          <w:snapToGrid w:val="0"/>
          <w:lang w:val="da-DK"/>
        </w:rPr>
        <w:t xml:space="preserve"> eller taxanbaserede terapier i behandlingen af NSCLC, mBC og i kombination med paclitaxel og topotecan i behandlingen af persisterende, recidiverende eller metastatisk cervixcancer.</w:t>
      </w:r>
    </w:p>
    <w:p w14:paraId="19B311C9" w14:textId="77777777" w:rsidR="003563EF" w:rsidRPr="001278B6" w:rsidRDefault="003563EF" w:rsidP="001278B6">
      <w:pPr>
        <w:pStyle w:val="a3"/>
        <w:widowControl/>
        <w:adjustRightInd w:val="0"/>
        <w:snapToGrid w:val="0"/>
        <w:rPr>
          <w:snapToGrid w:val="0"/>
          <w:lang w:val="da-DK"/>
        </w:rPr>
      </w:pPr>
    </w:p>
    <w:p w14:paraId="05BE0D96" w14:textId="48097191" w:rsidR="003563EF" w:rsidRPr="001278B6" w:rsidRDefault="00473235" w:rsidP="001278B6">
      <w:pPr>
        <w:widowControl/>
        <w:adjustRightInd w:val="0"/>
        <w:snapToGrid w:val="0"/>
        <w:rPr>
          <w:snapToGrid w:val="0"/>
          <w:lang w:val="da-DK"/>
        </w:rPr>
      </w:pPr>
      <w:r w:rsidRPr="00F466A3">
        <w:rPr>
          <w:iCs/>
          <w:snapToGrid w:val="0"/>
          <w:u w:val="single"/>
          <w:lang w:val="da-DK"/>
        </w:rPr>
        <w:t>Overfølsomhedsreaktioner</w:t>
      </w:r>
      <w:r w:rsidR="00667130">
        <w:rPr>
          <w:iCs/>
          <w:snapToGrid w:val="0"/>
          <w:u w:val="single"/>
          <w:lang w:val="da-DK"/>
        </w:rPr>
        <w:t xml:space="preserve"> </w:t>
      </w:r>
      <w:r w:rsidR="00667130" w:rsidRPr="00667130">
        <w:rPr>
          <w:iCs/>
          <w:snapToGrid w:val="0"/>
          <w:u w:val="single"/>
          <w:lang w:val="da-DK"/>
        </w:rPr>
        <w:t>(inklusive anafylaktisk shock)</w:t>
      </w:r>
      <w:r w:rsidRPr="00F466A3">
        <w:rPr>
          <w:iCs/>
          <w:snapToGrid w:val="0"/>
          <w:u w:val="single"/>
          <w:lang w:val="da-DK"/>
        </w:rPr>
        <w:t>/infusionsreaktioner</w:t>
      </w:r>
      <w:r w:rsidRPr="001278B6">
        <w:rPr>
          <w:i/>
          <w:snapToGrid w:val="0"/>
          <w:lang w:val="da-DK"/>
        </w:rPr>
        <w:t xml:space="preserve"> </w:t>
      </w:r>
      <w:r w:rsidRPr="001278B6">
        <w:rPr>
          <w:snapToGrid w:val="0"/>
          <w:lang w:val="da-DK"/>
        </w:rPr>
        <w:t>(se pkt. 4.8)</w:t>
      </w:r>
    </w:p>
    <w:p w14:paraId="671BE47E" w14:textId="2516C730" w:rsidR="003563EF" w:rsidRPr="001278B6" w:rsidRDefault="00473235" w:rsidP="001278B6">
      <w:pPr>
        <w:pStyle w:val="a3"/>
        <w:widowControl/>
        <w:adjustRightInd w:val="0"/>
        <w:snapToGrid w:val="0"/>
        <w:rPr>
          <w:snapToGrid w:val="0"/>
          <w:lang w:val="da-DK"/>
        </w:rPr>
      </w:pPr>
      <w:r w:rsidRPr="001278B6">
        <w:rPr>
          <w:snapToGrid w:val="0"/>
          <w:lang w:val="da-DK"/>
        </w:rPr>
        <w:t>Der er risiko for, at patienterne udvikler infusions</w:t>
      </w:r>
      <w:r w:rsidR="004B3750">
        <w:rPr>
          <w:snapToGrid w:val="0"/>
          <w:lang w:val="da-DK"/>
        </w:rPr>
        <w:noBreakHyphen/>
      </w:r>
      <w:r w:rsidRPr="001278B6">
        <w:rPr>
          <w:snapToGrid w:val="0"/>
          <w:lang w:val="da-DK"/>
        </w:rPr>
        <w:t>/overfølsomhedsreaktioner</w:t>
      </w:r>
      <w:r w:rsidR="00667130">
        <w:rPr>
          <w:snapToGrid w:val="0"/>
          <w:lang w:val="da-DK"/>
        </w:rPr>
        <w:t xml:space="preserve"> </w:t>
      </w:r>
      <w:r w:rsidR="00667130" w:rsidRPr="00667130">
        <w:rPr>
          <w:snapToGrid w:val="0"/>
          <w:lang w:val="da-DK"/>
        </w:rPr>
        <w:t>(inklusive anafylaktisk shock)</w:t>
      </w:r>
      <w:r w:rsidRPr="001278B6">
        <w:rPr>
          <w:snapToGrid w:val="0"/>
          <w:lang w:val="da-DK"/>
        </w:rPr>
        <w:t>. Omhyggelig monitorering af patienten anbefales under og efter administration af bevacizumab, som det forventes ved enhver infusion af et terapeutisk humaniseret monoklonalt antistof. Hvis der opstår en reaktion, skal infusionen ophøre og passende medicinsk behandling iværksættes. En systematisk præmedicinering anbefales ikke.</w:t>
      </w:r>
    </w:p>
    <w:p w14:paraId="3419AE09" w14:textId="77777777" w:rsidR="003563EF" w:rsidRPr="001278B6" w:rsidRDefault="003563EF" w:rsidP="001278B6">
      <w:pPr>
        <w:pStyle w:val="a3"/>
        <w:widowControl/>
        <w:adjustRightInd w:val="0"/>
        <w:snapToGrid w:val="0"/>
        <w:rPr>
          <w:snapToGrid w:val="0"/>
          <w:lang w:val="da-DK"/>
        </w:rPr>
      </w:pPr>
    </w:p>
    <w:p w14:paraId="58365733" w14:textId="37D32A81" w:rsidR="003563EF" w:rsidRPr="001278B6" w:rsidRDefault="00473235" w:rsidP="001278B6">
      <w:pPr>
        <w:keepNext/>
        <w:keepLines/>
        <w:widowControl/>
        <w:adjustRightInd w:val="0"/>
        <w:snapToGrid w:val="0"/>
        <w:rPr>
          <w:snapToGrid w:val="0"/>
          <w:lang w:val="da-DK"/>
        </w:rPr>
      </w:pPr>
      <w:r w:rsidRPr="00F466A3">
        <w:rPr>
          <w:iCs/>
          <w:snapToGrid w:val="0"/>
          <w:u w:val="single"/>
          <w:lang w:val="da-DK"/>
        </w:rPr>
        <w:t>Osteonekrose af kæben</w:t>
      </w:r>
      <w:r w:rsidR="000D00E9">
        <w:rPr>
          <w:iCs/>
          <w:snapToGrid w:val="0"/>
          <w:u w:val="single"/>
          <w:lang w:val="da-DK"/>
        </w:rPr>
        <w:t xml:space="preserve"> (ONJ)</w:t>
      </w:r>
      <w:r w:rsidRPr="001278B6">
        <w:rPr>
          <w:i/>
          <w:snapToGrid w:val="0"/>
          <w:lang w:val="da-DK"/>
        </w:rPr>
        <w:t xml:space="preserve"> </w:t>
      </w:r>
      <w:r w:rsidRPr="001278B6">
        <w:rPr>
          <w:snapToGrid w:val="0"/>
          <w:lang w:val="da-DK"/>
        </w:rPr>
        <w:t>(se pkt. 4.8)</w:t>
      </w:r>
    </w:p>
    <w:p w14:paraId="37BC27C1" w14:textId="6BEA60FE" w:rsidR="003563EF" w:rsidRPr="001278B6" w:rsidRDefault="00473235" w:rsidP="001278B6">
      <w:pPr>
        <w:pStyle w:val="a3"/>
        <w:widowControl/>
        <w:adjustRightInd w:val="0"/>
        <w:snapToGrid w:val="0"/>
        <w:rPr>
          <w:snapToGrid w:val="0"/>
          <w:lang w:val="da-DK"/>
        </w:rPr>
      </w:pPr>
      <w:r w:rsidRPr="001278B6">
        <w:rPr>
          <w:snapToGrid w:val="0"/>
          <w:lang w:val="da-DK"/>
        </w:rPr>
        <w:t xml:space="preserve">Tilfælde af </w:t>
      </w:r>
      <w:r w:rsidR="000D00E9">
        <w:rPr>
          <w:snapToGrid w:val="0"/>
          <w:lang w:val="da-DK"/>
        </w:rPr>
        <w:t>ONJ</w:t>
      </w:r>
      <w:r w:rsidRPr="001278B6">
        <w:rPr>
          <w:snapToGrid w:val="0"/>
          <w:lang w:val="da-DK"/>
        </w:rPr>
        <w:t xml:space="preserve"> er blevet rapporteret hos kræftpatienter behandlet med </w:t>
      </w:r>
      <w:r w:rsidR="00F56C20">
        <w:rPr>
          <w:snapToGrid w:val="0"/>
          <w:lang w:val="da-DK"/>
        </w:rPr>
        <w:t>bevacizumab</w:t>
      </w:r>
      <w:r w:rsidRPr="001278B6">
        <w:rPr>
          <w:snapToGrid w:val="0"/>
          <w:lang w:val="da-DK"/>
        </w:rPr>
        <w:t xml:space="preserve">. De fleste havde tidligere eller samtidigt fået behandling med intravenøse bisfosfonater, hvor </w:t>
      </w:r>
      <w:r w:rsidR="000D00E9">
        <w:rPr>
          <w:snapToGrid w:val="0"/>
          <w:lang w:val="da-DK"/>
        </w:rPr>
        <w:t>ONJ</w:t>
      </w:r>
      <w:r w:rsidRPr="001278B6">
        <w:rPr>
          <w:snapToGrid w:val="0"/>
          <w:lang w:val="da-DK"/>
        </w:rPr>
        <w:t xml:space="preserve"> er en kendt risiko. Der bør udvises forsigtighed, når </w:t>
      </w:r>
      <w:r w:rsidR="00F56C20">
        <w:rPr>
          <w:snapToGrid w:val="0"/>
          <w:lang w:val="da-DK"/>
        </w:rPr>
        <w:t>bevacizumab</w:t>
      </w:r>
      <w:r w:rsidRPr="001278B6">
        <w:rPr>
          <w:snapToGrid w:val="0"/>
          <w:lang w:val="da-DK"/>
        </w:rPr>
        <w:t xml:space="preserve"> og intravenøse bisfosfonater administreres samtidigt eller sekventielt.</w:t>
      </w:r>
    </w:p>
    <w:p w14:paraId="484DE3FD" w14:textId="77777777" w:rsidR="00F56C20" w:rsidRDefault="00F56C20" w:rsidP="001278B6">
      <w:pPr>
        <w:pStyle w:val="a3"/>
        <w:widowControl/>
        <w:adjustRightInd w:val="0"/>
        <w:snapToGrid w:val="0"/>
        <w:jc w:val="both"/>
        <w:rPr>
          <w:snapToGrid w:val="0"/>
          <w:lang w:val="da-DK"/>
        </w:rPr>
      </w:pPr>
    </w:p>
    <w:p w14:paraId="6F3048AF" w14:textId="6E6F3322" w:rsidR="003563EF" w:rsidRPr="001278B6" w:rsidRDefault="00473235" w:rsidP="001278B6">
      <w:pPr>
        <w:pStyle w:val="a3"/>
        <w:widowControl/>
        <w:adjustRightInd w:val="0"/>
        <w:snapToGrid w:val="0"/>
        <w:jc w:val="both"/>
        <w:rPr>
          <w:snapToGrid w:val="0"/>
          <w:lang w:val="da-DK"/>
        </w:rPr>
      </w:pPr>
      <w:r w:rsidRPr="001278B6">
        <w:rPr>
          <w:snapToGrid w:val="0"/>
          <w:lang w:val="da-DK"/>
        </w:rPr>
        <w:t xml:space="preserve">Invasive tandprocedurer er også en kendt risikofaktor. Tandundersøgelse og passende forebyggende tandbehandling bør overvejes før behandling med </w:t>
      </w:r>
      <w:r w:rsidR="00295FBB">
        <w:rPr>
          <w:iCs/>
          <w:snapToGrid w:val="0"/>
          <w:lang w:val="da-DK"/>
        </w:rPr>
        <w:t>Vegzelma</w:t>
      </w:r>
      <w:r w:rsidRPr="001278B6">
        <w:rPr>
          <w:snapToGrid w:val="0"/>
          <w:lang w:val="da-DK"/>
        </w:rPr>
        <w:t>. Hvis muligt bør invasive tandprocedurer undgås hos patienter, som tidligere er blevet eller bliver behandlet med intravenøse bisfosfonater.</w:t>
      </w:r>
    </w:p>
    <w:p w14:paraId="2A61515E" w14:textId="77777777" w:rsidR="003563EF" w:rsidRPr="001278B6" w:rsidRDefault="003563EF" w:rsidP="001278B6">
      <w:pPr>
        <w:pStyle w:val="a3"/>
        <w:widowControl/>
        <w:adjustRightInd w:val="0"/>
        <w:snapToGrid w:val="0"/>
        <w:rPr>
          <w:snapToGrid w:val="0"/>
          <w:lang w:val="da-DK"/>
        </w:rPr>
      </w:pPr>
    </w:p>
    <w:p w14:paraId="727B5D49" w14:textId="77777777" w:rsidR="003563EF" w:rsidRPr="00F466A3" w:rsidRDefault="00473235" w:rsidP="001278B6">
      <w:pPr>
        <w:keepNext/>
        <w:keepLines/>
        <w:widowControl/>
        <w:adjustRightInd w:val="0"/>
        <w:snapToGrid w:val="0"/>
        <w:jc w:val="both"/>
        <w:rPr>
          <w:iCs/>
          <w:snapToGrid w:val="0"/>
          <w:u w:val="single"/>
          <w:lang w:val="da-DK"/>
        </w:rPr>
      </w:pPr>
      <w:r w:rsidRPr="00F466A3">
        <w:rPr>
          <w:iCs/>
          <w:snapToGrid w:val="0"/>
          <w:u w:val="single"/>
          <w:lang w:val="da-DK"/>
        </w:rPr>
        <w:t>Intravitreal anvendelse</w:t>
      </w:r>
    </w:p>
    <w:p w14:paraId="01B6A712" w14:textId="3B099969" w:rsidR="003563EF" w:rsidRPr="001278B6" w:rsidRDefault="00295FBB" w:rsidP="001278B6">
      <w:pPr>
        <w:pStyle w:val="a3"/>
        <w:widowControl/>
        <w:adjustRightInd w:val="0"/>
        <w:snapToGrid w:val="0"/>
        <w:jc w:val="both"/>
        <w:rPr>
          <w:snapToGrid w:val="0"/>
          <w:lang w:val="da-DK"/>
        </w:rPr>
      </w:pPr>
      <w:r>
        <w:rPr>
          <w:iCs/>
          <w:snapToGrid w:val="0"/>
          <w:lang w:val="da-DK"/>
        </w:rPr>
        <w:t>Vegzelma</w:t>
      </w:r>
      <w:r w:rsidR="00473235" w:rsidRPr="001278B6">
        <w:rPr>
          <w:snapToGrid w:val="0"/>
          <w:lang w:val="da-DK"/>
        </w:rPr>
        <w:t xml:space="preserve"> er ikke formuleret til intravitreal anvendelse.</w:t>
      </w:r>
    </w:p>
    <w:p w14:paraId="5734003B" w14:textId="77777777" w:rsidR="003563EF" w:rsidRPr="001278B6" w:rsidRDefault="003563EF" w:rsidP="001278B6">
      <w:pPr>
        <w:pStyle w:val="a3"/>
        <w:widowControl/>
        <w:adjustRightInd w:val="0"/>
        <w:snapToGrid w:val="0"/>
        <w:rPr>
          <w:snapToGrid w:val="0"/>
          <w:lang w:val="da-DK"/>
        </w:rPr>
      </w:pPr>
    </w:p>
    <w:p w14:paraId="00F9B51A"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Øjensygdomme</w:t>
      </w:r>
    </w:p>
    <w:p w14:paraId="06A54C83" w14:textId="77777777" w:rsidR="003563EF" w:rsidRPr="001278B6" w:rsidRDefault="00473235" w:rsidP="001278B6">
      <w:pPr>
        <w:pStyle w:val="a3"/>
        <w:widowControl/>
        <w:adjustRightInd w:val="0"/>
        <w:snapToGrid w:val="0"/>
        <w:rPr>
          <w:snapToGrid w:val="0"/>
          <w:lang w:val="da-DK"/>
        </w:rPr>
      </w:pPr>
      <w:r w:rsidRPr="001278B6">
        <w:rPr>
          <w:snapToGrid w:val="0"/>
          <w:lang w:val="da-DK"/>
        </w:rPr>
        <w:t>Individuelle tilfælde og samling af tilfælde med alvorlige okulære bivirkninger er blevet rapporteret efter ikke</w:t>
      </w:r>
      <w:r w:rsidR="004B3750">
        <w:rPr>
          <w:snapToGrid w:val="0"/>
          <w:lang w:val="da-DK"/>
        </w:rPr>
        <w:noBreakHyphen/>
      </w:r>
      <w:r w:rsidRPr="001278B6">
        <w:rPr>
          <w:snapToGrid w:val="0"/>
          <w:lang w:val="da-DK"/>
        </w:rPr>
        <w:t xml:space="preserve">godkendt intravitreal anvendelse af </w:t>
      </w:r>
      <w:r w:rsidR="00F56C20">
        <w:rPr>
          <w:snapToGrid w:val="0"/>
          <w:lang w:val="da-DK"/>
        </w:rPr>
        <w:t>bevacizumab</w:t>
      </w:r>
      <w:r w:rsidRPr="001278B6">
        <w:rPr>
          <w:snapToGrid w:val="0"/>
          <w:lang w:val="da-DK"/>
        </w:rPr>
        <w:t xml:space="preserve"> i hætteglas godkendt til intravenøs administration til kræftpatienter. Disse bivirkninger inkluderede infektiøs endophthalmitis, intraokulær inflammation såsom steril endophthalmitis, uveitis og vitritis, nethindeløsning, rift i </w:t>
      </w:r>
      <w:r w:rsidRPr="001278B6">
        <w:rPr>
          <w:snapToGrid w:val="0"/>
          <w:lang w:val="da-DK"/>
        </w:rPr>
        <w:lastRenderedPageBreak/>
        <w:t>pigmentepitelcellelaget i nethinden, forhøjet intraokulært tryk, intraokulær blødning såsom corpus vitreum blødning eller nethindeblødning og konjunktival blødning. Nogle af disse bivirkninger resulterede i varierende grader af synstab, herunder permanent blindhed.</w:t>
      </w:r>
    </w:p>
    <w:p w14:paraId="0E74FB8F" w14:textId="77777777" w:rsidR="003563EF" w:rsidRPr="001278B6" w:rsidRDefault="003563EF" w:rsidP="001278B6">
      <w:pPr>
        <w:pStyle w:val="a3"/>
        <w:widowControl/>
        <w:adjustRightInd w:val="0"/>
        <w:snapToGrid w:val="0"/>
        <w:rPr>
          <w:snapToGrid w:val="0"/>
          <w:lang w:val="da-DK"/>
        </w:rPr>
      </w:pPr>
    </w:p>
    <w:p w14:paraId="38E3643D"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Systemiske bivirkninger efter intravitreal anvendelse</w:t>
      </w:r>
    </w:p>
    <w:p w14:paraId="06895714"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påvist nedsat koncentration af cirkulerende vaskulær endotelial vækstfaktor (VEGF) efter intravitreal anti</w:t>
      </w:r>
      <w:r w:rsidR="004B3750">
        <w:rPr>
          <w:snapToGrid w:val="0"/>
          <w:lang w:val="da-DK"/>
        </w:rPr>
        <w:noBreakHyphen/>
      </w:r>
      <w:r w:rsidRPr="001278B6">
        <w:rPr>
          <w:snapToGrid w:val="0"/>
          <w:lang w:val="da-DK"/>
        </w:rPr>
        <w:t>VEGF</w:t>
      </w:r>
      <w:r w:rsidR="004B3750">
        <w:rPr>
          <w:snapToGrid w:val="0"/>
          <w:lang w:val="da-DK"/>
        </w:rPr>
        <w:noBreakHyphen/>
      </w:r>
      <w:r w:rsidRPr="001278B6">
        <w:rPr>
          <w:snapToGrid w:val="0"/>
          <w:lang w:val="da-DK"/>
        </w:rPr>
        <w:t>behandling. Systemiske bivirkninger, herunder ikke</w:t>
      </w:r>
      <w:r w:rsidR="004B3750">
        <w:rPr>
          <w:snapToGrid w:val="0"/>
          <w:lang w:val="da-DK"/>
        </w:rPr>
        <w:noBreakHyphen/>
      </w:r>
      <w:r w:rsidRPr="001278B6">
        <w:rPr>
          <w:snapToGrid w:val="0"/>
          <w:lang w:val="da-DK"/>
        </w:rPr>
        <w:t xml:space="preserve">okulære blødninger og arterielle tromboemboliske bivirkninger, er </w:t>
      </w:r>
      <w:r w:rsidRPr="001278B6">
        <w:rPr>
          <w:snapToGrid w:val="0"/>
          <w:color w:val="303030"/>
          <w:lang w:val="da-DK"/>
        </w:rPr>
        <w:t>blevet rapporteret efter intravitreal injektion af VEGF</w:t>
      </w:r>
      <w:r w:rsidR="004B3750">
        <w:rPr>
          <w:snapToGrid w:val="0"/>
          <w:color w:val="303030"/>
          <w:lang w:val="da-DK"/>
        </w:rPr>
        <w:noBreakHyphen/>
      </w:r>
      <w:r w:rsidRPr="001278B6">
        <w:rPr>
          <w:snapToGrid w:val="0"/>
          <w:color w:val="303030"/>
          <w:lang w:val="da-DK"/>
        </w:rPr>
        <w:t>hæmmere.</w:t>
      </w:r>
    </w:p>
    <w:p w14:paraId="5DDE5AED" w14:textId="77777777" w:rsidR="003563EF" w:rsidRPr="001278B6" w:rsidRDefault="003563EF" w:rsidP="001278B6">
      <w:pPr>
        <w:pStyle w:val="a3"/>
        <w:widowControl/>
        <w:adjustRightInd w:val="0"/>
        <w:snapToGrid w:val="0"/>
        <w:rPr>
          <w:snapToGrid w:val="0"/>
          <w:lang w:val="da-DK"/>
        </w:rPr>
      </w:pPr>
    </w:p>
    <w:p w14:paraId="36532CEF"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Ovariesvigt/fertilitet</w:t>
      </w:r>
    </w:p>
    <w:p w14:paraId="2FEFA9D0" w14:textId="7A4F26EF" w:rsidR="003563EF" w:rsidRDefault="00F86A89" w:rsidP="001278B6">
      <w:pPr>
        <w:pStyle w:val="a3"/>
        <w:widowControl/>
        <w:adjustRightInd w:val="0"/>
        <w:snapToGrid w:val="0"/>
        <w:rPr>
          <w:rFonts w:eastAsia="맑은 고딕"/>
          <w:snapToGrid w:val="0"/>
          <w:lang w:val="da-DK" w:eastAsia="ko-KR"/>
        </w:rPr>
      </w:pPr>
      <w:r>
        <w:rPr>
          <w:snapToGrid w:val="0"/>
          <w:lang w:val="da-DK"/>
        </w:rPr>
        <w:t>Bevacizumab</w:t>
      </w:r>
      <w:r w:rsidR="00473235" w:rsidRPr="001278B6">
        <w:rPr>
          <w:snapToGrid w:val="0"/>
          <w:lang w:val="da-DK"/>
        </w:rPr>
        <w:t xml:space="preserve"> kan nedsætte fertiliteten hos kvinder (se pkt. 4.6 og 4.8). Fertilitetsbevarende strategier bør derfor drøftes med kvinder i den fertile alder før igangsættelse af behandling</w:t>
      </w:r>
      <w:r w:rsidR="00D06DDB">
        <w:rPr>
          <w:snapToGrid w:val="0"/>
          <w:lang w:val="da-DK"/>
        </w:rPr>
        <w:t xml:space="preserve"> med </w:t>
      </w:r>
      <w:r w:rsidR="00295FBB">
        <w:rPr>
          <w:snapToGrid w:val="0"/>
          <w:lang w:val="da-DK"/>
        </w:rPr>
        <w:t>Vegzelma</w:t>
      </w:r>
      <w:r w:rsidR="00473235" w:rsidRPr="001278B6">
        <w:rPr>
          <w:snapToGrid w:val="0"/>
          <w:lang w:val="da-DK"/>
        </w:rPr>
        <w:t>.</w:t>
      </w:r>
    </w:p>
    <w:p w14:paraId="6E7591D1" w14:textId="77777777" w:rsidR="00BE39C3" w:rsidRDefault="00BE39C3" w:rsidP="001278B6">
      <w:pPr>
        <w:pStyle w:val="a3"/>
        <w:widowControl/>
        <w:adjustRightInd w:val="0"/>
        <w:snapToGrid w:val="0"/>
        <w:rPr>
          <w:rFonts w:eastAsia="맑은 고딕"/>
          <w:snapToGrid w:val="0"/>
          <w:lang w:val="da-DK" w:eastAsia="ko-KR"/>
        </w:rPr>
      </w:pPr>
    </w:p>
    <w:p w14:paraId="5278BB75" w14:textId="77777777" w:rsidR="00BE39C3" w:rsidRPr="00DD47A3" w:rsidRDefault="00BE39C3" w:rsidP="00BE39C3">
      <w:pPr>
        <w:pStyle w:val="a3"/>
        <w:widowControl/>
        <w:adjustRightInd w:val="0"/>
        <w:snapToGrid w:val="0"/>
        <w:rPr>
          <w:rFonts w:eastAsia="맑은 고딕"/>
          <w:snapToGrid w:val="0"/>
          <w:u w:val="single"/>
          <w:lang w:val="da-DK" w:eastAsia="ko-KR"/>
        </w:rPr>
      </w:pPr>
      <w:r w:rsidRPr="00DD47A3">
        <w:rPr>
          <w:rFonts w:eastAsia="맑은 고딕"/>
          <w:snapToGrid w:val="0"/>
          <w:u w:val="single"/>
          <w:lang w:val="da-DK" w:eastAsia="ko-KR"/>
        </w:rPr>
        <w:t>Hjælpestoffer</w:t>
      </w:r>
    </w:p>
    <w:p w14:paraId="52ED6977" w14:textId="3A27A690" w:rsidR="00736CB5" w:rsidRDefault="00736CB5" w:rsidP="0090213F">
      <w:pPr>
        <w:pStyle w:val="a3"/>
        <w:widowControl/>
        <w:adjustRightInd w:val="0"/>
        <w:snapToGrid w:val="0"/>
        <w:rPr>
          <w:rFonts w:eastAsia="맑은 고딕"/>
          <w:snapToGrid w:val="0"/>
          <w:lang w:eastAsia="ko-KR"/>
        </w:rPr>
      </w:pPr>
      <w:r w:rsidRPr="00736CB5">
        <w:rPr>
          <w:rFonts w:eastAsia="맑은 고딕"/>
          <w:snapToGrid w:val="0"/>
          <w:lang w:eastAsia="ko-KR"/>
        </w:rPr>
        <w:t xml:space="preserve">Dette </w:t>
      </w:r>
      <w:proofErr w:type="spellStart"/>
      <w:r w:rsidRPr="00736CB5">
        <w:rPr>
          <w:rFonts w:eastAsia="맑은 고딕"/>
          <w:snapToGrid w:val="0"/>
          <w:lang w:eastAsia="ko-KR"/>
        </w:rPr>
        <w:t>lægemiddel</w:t>
      </w:r>
      <w:proofErr w:type="spellEnd"/>
      <w:r w:rsidRPr="00736CB5">
        <w:rPr>
          <w:rFonts w:eastAsia="맑은 고딕"/>
          <w:snapToGrid w:val="0"/>
          <w:lang w:eastAsia="ko-KR"/>
        </w:rPr>
        <w:t xml:space="preserve"> </w:t>
      </w:r>
      <w:proofErr w:type="spellStart"/>
      <w:r w:rsidRPr="00736CB5">
        <w:rPr>
          <w:rFonts w:eastAsia="맑은 고딕"/>
          <w:snapToGrid w:val="0"/>
          <w:lang w:eastAsia="ko-KR"/>
        </w:rPr>
        <w:t>indeholder</w:t>
      </w:r>
      <w:proofErr w:type="spellEnd"/>
      <w:r w:rsidRPr="00736CB5">
        <w:rPr>
          <w:rFonts w:eastAsia="맑은 고딕"/>
          <w:snapToGrid w:val="0"/>
          <w:lang w:eastAsia="ko-KR"/>
        </w:rPr>
        <w:t xml:space="preserve"> </w:t>
      </w:r>
      <w:proofErr w:type="spellStart"/>
      <w:r w:rsidRPr="00736CB5">
        <w:rPr>
          <w:rFonts w:eastAsia="맑은 고딕"/>
          <w:snapToGrid w:val="0"/>
          <w:lang w:eastAsia="ko-KR"/>
        </w:rPr>
        <w:t>mindre</w:t>
      </w:r>
      <w:proofErr w:type="spellEnd"/>
      <w:r w:rsidRPr="00736CB5">
        <w:rPr>
          <w:rFonts w:eastAsia="맑은 고딕"/>
          <w:snapToGrid w:val="0"/>
          <w:lang w:eastAsia="ko-KR"/>
        </w:rPr>
        <w:t xml:space="preserve"> end 1 mmol natrium (23 mg) pr. </w:t>
      </w:r>
      <w:proofErr w:type="spellStart"/>
      <w:r w:rsidRPr="00736CB5">
        <w:rPr>
          <w:rFonts w:eastAsia="맑은 고딕"/>
          <w:snapToGrid w:val="0"/>
          <w:lang w:eastAsia="ko-KR"/>
        </w:rPr>
        <w:t>hætteglas</w:t>
      </w:r>
      <w:proofErr w:type="spellEnd"/>
      <w:r w:rsidRPr="00736CB5">
        <w:rPr>
          <w:rFonts w:eastAsia="맑은 고딕"/>
          <w:snapToGrid w:val="0"/>
          <w:lang w:eastAsia="ko-KR"/>
        </w:rPr>
        <w:t xml:space="preserve">, </w:t>
      </w:r>
      <w:proofErr w:type="spellStart"/>
      <w:r w:rsidRPr="00736CB5">
        <w:rPr>
          <w:rFonts w:eastAsia="맑은 고딕"/>
          <w:snapToGrid w:val="0"/>
          <w:lang w:eastAsia="ko-KR"/>
        </w:rPr>
        <w:t>dvs</w:t>
      </w:r>
      <w:proofErr w:type="spellEnd"/>
      <w:r w:rsidRPr="00736CB5">
        <w:rPr>
          <w:rFonts w:eastAsia="맑은 고딕"/>
          <w:snapToGrid w:val="0"/>
          <w:lang w:eastAsia="ko-KR"/>
        </w:rPr>
        <w:t xml:space="preserve">. det er </w:t>
      </w:r>
      <w:proofErr w:type="spellStart"/>
      <w:r w:rsidRPr="00736CB5">
        <w:rPr>
          <w:rFonts w:eastAsia="맑은 고딕"/>
          <w:snapToGrid w:val="0"/>
          <w:lang w:eastAsia="ko-KR"/>
        </w:rPr>
        <w:t>i</w:t>
      </w:r>
      <w:proofErr w:type="spellEnd"/>
      <w:r w:rsidRPr="00736CB5">
        <w:rPr>
          <w:rFonts w:eastAsia="맑은 고딕"/>
          <w:snapToGrid w:val="0"/>
          <w:lang w:eastAsia="ko-KR"/>
        </w:rPr>
        <w:t xml:space="preserve"> det </w:t>
      </w:r>
      <w:proofErr w:type="spellStart"/>
      <w:r w:rsidRPr="00736CB5">
        <w:rPr>
          <w:rFonts w:eastAsia="맑은 고딕"/>
          <w:snapToGrid w:val="0"/>
          <w:lang w:eastAsia="ko-KR"/>
        </w:rPr>
        <w:t>væsentlige</w:t>
      </w:r>
      <w:proofErr w:type="spellEnd"/>
      <w:r w:rsidRPr="00736CB5">
        <w:rPr>
          <w:rFonts w:eastAsia="맑은 고딕"/>
          <w:snapToGrid w:val="0"/>
          <w:lang w:eastAsia="ko-KR"/>
        </w:rPr>
        <w:t xml:space="preserve"> </w:t>
      </w:r>
      <w:proofErr w:type="spellStart"/>
      <w:r w:rsidRPr="00736CB5">
        <w:rPr>
          <w:rFonts w:eastAsia="맑은 고딕"/>
          <w:snapToGrid w:val="0"/>
          <w:lang w:eastAsia="ko-KR"/>
        </w:rPr>
        <w:t>natriumfrit</w:t>
      </w:r>
      <w:proofErr w:type="spellEnd"/>
      <w:r w:rsidR="0046416D">
        <w:rPr>
          <w:rFonts w:eastAsia="맑은 고딕" w:hint="eastAsia"/>
          <w:snapToGrid w:val="0"/>
          <w:lang w:eastAsia="ko-KR"/>
        </w:rPr>
        <w:t>.</w:t>
      </w:r>
    </w:p>
    <w:p w14:paraId="3ABBBA09" w14:textId="77777777" w:rsidR="00736CB5" w:rsidRPr="00736CB5" w:rsidRDefault="00736CB5" w:rsidP="0090213F">
      <w:pPr>
        <w:pStyle w:val="a3"/>
        <w:widowControl/>
        <w:adjustRightInd w:val="0"/>
        <w:snapToGrid w:val="0"/>
        <w:rPr>
          <w:rFonts w:eastAsia="맑은 고딕"/>
          <w:snapToGrid w:val="0"/>
          <w:lang w:val="da-DK" w:eastAsia="ko-KR"/>
        </w:rPr>
      </w:pPr>
    </w:p>
    <w:p w14:paraId="4695C088" w14:textId="4557F6E7" w:rsidR="00BE39C3" w:rsidRPr="00BE39C3" w:rsidRDefault="00BE39C3" w:rsidP="00732D68">
      <w:pPr>
        <w:pStyle w:val="a3"/>
        <w:widowControl/>
        <w:adjustRightInd w:val="0"/>
        <w:snapToGrid w:val="0"/>
        <w:rPr>
          <w:snapToGrid w:val="0"/>
          <w:lang w:val="da-DK"/>
        </w:rPr>
      </w:pPr>
      <w:r w:rsidRPr="00BE39C3">
        <w:rPr>
          <w:rFonts w:eastAsia="맑은 고딕"/>
          <w:snapToGrid w:val="0"/>
          <w:lang w:val="da-DK" w:eastAsia="ko-KR"/>
        </w:rPr>
        <w:t>Dette lægemiddel indeholder 0,</w:t>
      </w:r>
      <w:r w:rsidR="00732D68">
        <w:rPr>
          <w:rFonts w:eastAsia="맑은 고딕" w:hint="eastAsia"/>
          <w:snapToGrid w:val="0"/>
          <w:lang w:val="da-DK" w:eastAsia="ko-KR"/>
        </w:rPr>
        <w:t>4</w:t>
      </w:r>
      <w:r w:rsidRPr="00BE39C3">
        <w:rPr>
          <w:rFonts w:eastAsia="맑은 고딕"/>
          <w:snapToGrid w:val="0"/>
          <w:lang w:val="da-DK" w:eastAsia="ko-KR"/>
        </w:rPr>
        <w:t xml:space="preserve"> mg polysorbat </w:t>
      </w:r>
      <w:r w:rsidR="00732D68">
        <w:rPr>
          <w:rFonts w:eastAsia="맑은 고딕" w:hint="eastAsia"/>
          <w:snapToGrid w:val="0"/>
          <w:lang w:val="da-DK" w:eastAsia="ko-KR"/>
        </w:rPr>
        <w:t xml:space="preserve">20 pr. ml. </w:t>
      </w:r>
      <w:r w:rsidRPr="00BE39C3">
        <w:rPr>
          <w:rFonts w:eastAsia="맑은 고딕"/>
          <w:snapToGrid w:val="0"/>
          <w:lang w:val="da-DK" w:eastAsia="ko-KR"/>
        </w:rPr>
        <w:t>Polysorbat kan forårsage allergiske reaktioner.</w:t>
      </w:r>
      <w:r w:rsidR="00732D68">
        <w:rPr>
          <w:rFonts w:eastAsia="맑은 고딕" w:hint="eastAsia"/>
          <w:snapToGrid w:val="0"/>
          <w:lang w:val="da-DK" w:eastAsia="ko-KR"/>
        </w:rPr>
        <w:t xml:space="preserve"> </w:t>
      </w:r>
      <w:bookmarkStart w:id="1" w:name="_Hlk183096230"/>
      <w:r w:rsidR="00412CCD" w:rsidRPr="000F7C6D">
        <w:rPr>
          <w:lang w:val="da-DK"/>
        </w:rPr>
        <w:t>Patienter med polysorbat-allergi bør ikke tage dette lægemiddel</w:t>
      </w:r>
      <w:r w:rsidR="00732D68" w:rsidRPr="0030368A">
        <w:rPr>
          <w:rFonts w:eastAsiaTheme="minorEastAsia" w:hint="eastAsia"/>
          <w:lang w:eastAsia="ko-KR"/>
        </w:rPr>
        <w:t>.</w:t>
      </w:r>
      <w:bookmarkEnd w:id="1"/>
    </w:p>
    <w:p w14:paraId="18525400" w14:textId="77777777" w:rsidR="003563EF" w:rsidRPr="001278B6" w:rsidRDefault="003563EF" w:rsidP="001278B6">
      <w:pPr>
        <w:pStyle w:val="a3"/>
        <w:widowControl/>
        <w:adjustRightInd w:val="0"/>
        <w:snapToGrid w:val="0"/>
        <w:rPr>
          <w:snapToGrid w:val="0"/>
          <w:lang w:val="da-DK"/>
        </w:rPr>
      </w:pPr>
    </w:p>
    <w:p w14:paraId="296D49C3"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Interaktion med andre lægemidler og andre former for interaktion</w:t>
      </w:r>
    </w:p>
    <w:p w14:paraId="60B3756F" w14:textId="77777777" w:rsidR="003563EF" w:rsidRPr="001278B6" w:rsidRDefault="003563EF" w:rsidP="001278B6">
      <w:pPr>
        <w:pStyle w:val="a3"/>
        <w:keepNext/>
        <w:keepLines/>
        <w:widowControl/>
        <w:adjustRightInd w:val="0"/>
        <w:snapToGrid w:val="0"/>
        <w:rPr>
          <w:b/>
          <w:snapToGrid w:val="0"/>
          <w:lang w:val="da-DK"/>
        </w:rPr>
      </w:pPr>
    </w:p>
    <w:p w14:paraId="5FAD1AFC"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Effekt af antineoplastiske lægemidler på bevacizumabs farmakokinetik</w:t>
      </w:r>
    </w:p>
    <w:p w14:paraId="0EF11276"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ikke observeret klinisk relevante interaktioner på bevacizumabs farmakokinetik af samtidigt administreret kemoterapi,baseret på resultaterne fra populationsfarmakokinetiske analyser. Der var hverken statistisk signifikante eller klinisk relevante forskelle på bevacizumabs clearance hos patienter, som fik </w:t>
      </w:r>
      <w:r w:rsidR="00F86A89">
        <w:rPr>
          <w:snapToGrid w:val="0"/>
          <w:lang w:val="da-DK"/>
        </w:rPr>
        <w:t>bevacizumab</w:t>
      </w:r>
      <w:r w:rsidRPr="001278B6">
        <w:rPr>
          <w:snapToGrid w:val="0"/>
          <w:lang w:val="da-DK"/>
        </w:rPr>
        <w:t xml:space="preserve"> monoterapi, i forhold til patienter, som fik </w:t>
      </w:r>
      <w:r w:rsidR="00F86A89">
        <w:rPr>
          <w:snapToGrid w:val="0"/>
          <w:lang w:val="da-DK"/>
        </w:rPr>
        <w:t>bevacizumab</w:t>
      </w:r>
      <w:r w:rsidRPr="001278B6">
        <w:rPr>
          <w:snapToGrid w:val="0"/>
          <w:lang w:val="da-DK"/>
        </w:rPr>
        <w:t xml:space="preserve"> i kombination med interferon alfa</w:t>
      </w:r>
      <w:r w:rsidR="004B3750">
        <w:rPr>
          <w:snapToGrid w:val="0"/>
          <w:lang w:val="da-DK"/>
        </w:rPr>
        <w:noBreakHyphen/>
      </w:r>
      <w:r w:rsidRPr="001278B6">
        <w:rPr>
          <w:snapToGrid w:val="0"/>
          <w:lang w:val="da-DK"/>
        </w:rPr>
        <w:t>2a, erlotinib eller kemoterapiregimer (IFL, 5</w:t>
      </w:r>
      <w:r w:rsidR="004B3750">
        <w:rPr>
          <w:snapToGrid w:val="0"/>
          <w:lang w:val="da-DK"/>
        </w:rPr>
        <w:noBreakHyphen/>
      </w:r>
      <w:r w:rsidRPr="001278B6">
        <w:rPr>
          <w:snapToGrid w:val="0"/>
          <w:lang w:val="da-DK"/>
        </w:rPr>
        <w:t>FU/LV, carboplatin/paclitaxel, capecitabin, doxorubicin eller cisplatin/gemcitabin).</w:t>
      </w:r>
    </w:p>
    <w:p w14:paraId="515DF555" w14:textId="77777777" w:rsidR="003563EF" w:rsidRPr="001278B6" w:rsidRDefault="003563EF" w:rsidP="001278B6">
      <w:pPr>
        <w:pStyle w:val="a3"/>
        <w:widowControl/>
        <w:adjustRightInd w:val="0"/>
        <w:snapToGrid w:val="0"/>
        <w:rPr>
          <w:snapToGrid w:val="0"/>
          <w:lang w:val="da-DK"/>
        </w:rPr>
      </w:pPr>
    </w:p>
    <w:p w14:paraId="1C99AE20" w14:textId="77777777" w:rsidR="003328F4" w:rsidRPr="00F466A3" w:rsidRDefault="00473235">
      <w:pPr>
        <w:pStyle w:val="a3"/>
        <w:widowControl/>
        <w:adjustRightInd w:val="0"/>
        <w:snapToGrid w:val="0"/>
        <w:rPr>
          <w:iCs/>
          <w:snapToGrid w:val="0"/>
          <w:u w:val="single"/>
          <w:lang w:val="da-DK"/>
        </w:rPr>
      </w:pPr>
      <w:r w:rsidRPr="00F466A3">
        <w:rPr>
          <w:iCs/>
          <w:snapToGrid w:val="0"/>
          <w:u w:val="single"/>
          <w:lang w:val="da-DK"/>
        </w:rPr>
        <w:t>Bevacizumabs effekt på farmakokinetikken af andre antineoplastiske lægemidler</w:t>
      </w:r>
    </w:p>
    <w:p w14:paraId="4EB9B8D9"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ikke observeret klinisk relevante interaktioner af bevacizumab på farmakokinetikken af samtidig administreret interferon alfa 2a, erlotinib (og den aktive metabolit OSI</w:t>
      </w:r>
      <w:r w:rsidR="004B3750">
        <w:rPr>
          <w:snapToGrid w:val="0"/>
          <w:lang w:val="da-DK"/>
        </w:rPr>
        <w:noBreakHyphen/>
      </w:r>
      <w:r w:rsidRPr="001278B6">
        <w:rPr>
          <w:snapToGrid w:val="0"/>
          <w:lang w:val="da-DK"/>
        </w:rPr>
        <w:t>420) eller af følgende kemoterapeutika: irinotecan (og den aktive metabolit SN38), capecitabin, oxaliplatin (bestemt ved måling af frit og totalt platin) og cisplatin. Der kan ikke drages konklusion vedrørende bevacizumabs påvirkning af gemcitabins farmakokinetik.</w:t>
      </w:r>
    </w:p>
    <w:p w14:paraId="45F531A7" w14:textId="77777777" w:rsidR="003563EF" w:rsidRPr="001278B6" w:rsidRDefault="003563EF" w:rsidP="001278B6">
      <w:pPr>
        <w:pStyle w:val="a3"/>
        <w:widowControl/>
        <w:adjustRightInd w:val="0"/>
        <w:snapToGrid w:val="0"/>
        <w:rPr>
          <w:snapToGrid w:val="0"/>
          <w:lang w:val="da-DK"/>
        </w:rPr>
      </w:pPr>
    </w:p>
    <w:p w14:paraId="6A7E9ED2"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Kombination af bevacizumab og sunitinibmaleat</w:t>
      </w:r>
    </w:p>
    <w:p w14:paraId="169FBF40" w14:textId="77777777" w:rsidR="003563EF" w:rsidRPr="001278B6" w:rsidRDefault="00473235" w:rsidP="001278B6">
      <w:pPr>
        <w:pStyle w:val="a3"/>
        <w:widowControl/>
        <w:adjustRightInd w:val="0"/>
        <w:snapToGrid w:val="0"/>
        <w:rPr>
          <w:snapToGrid w:val="0"/>
          <w:lang w:val="da-DK"/>
        </w:rPr>
      </w:pPr>
      <w:r w:rsidRPr="001278B6">
        <w:rPr>
          <w:snapToGrid w:val="0"/>
          <w:lang w:val="da-DK"/>
        </w:rPr>
        <w:t>I to kliniske studier omhandlende metastatisk renalcellekarcinom, blev mikroangiopatisk hæmolytisk anæmi (MAHA) rapporteret hos 7 ud af 19 patienter behandlet med bevacizumab (10</w:t>
      </w:r>
      <w:r w:rsidR="00D06DDB">
        <w:rPr>
          <w:snapToGrid w:val="0"/>
          <w:lang w:val="da-DK"/>
        </w:rPr>
        <w:t> ml</w:t>
      </w:r>
      <w:r w:rsidR="00D06DDB" w:rsidRPr="001278B6">
        <w:rPr>
          <w:snapToGrid w:val="0"/>
          <w:lang w:val="da-DK"/>
        </w:rPr>
        <w:t xml:space="preserve"> </w:t>
      </w:r>
      <w:r w:rsidRPr="001278B6">
        <w:rPr>
          <w:snapToGrid w:val="0"/>
          <w:lang w:val="da-DK"/>
        </w:rPr>
        <w:t>/kg hver 2.</w:t>
      </w:r>
      <w:r w:rsidR="00A82547">
        <w:rPr>
          <w:snapToGrid w:val="0"/>
          <w:lang w:val="da-DK"/>
        </w:rPr>
        <w:t> </w:t>
      </w:r>
      <w:r w:rsidRPr="001278B6">
        <w:rPr>
          <w:snapToGrid w:val="0"/>
          <w:lang w:val="da-DK"/>
        </w:rPr>
        <w:t>uge) og sunitinibmaleat (50</w:t>
      </w:r>
      <w:r w:rsidR="00D06DDB">
        <w:rPr>
          <w:snapToGrid w:val="0"/>
          <w:lang w:val="da-DK"/>
        </w:rPr>
        <w:t> ml</w:t>
      </w:r>
      <w:r w:rsidRPr="001278B6">
        <w:rPr>
          <w:snapToGrid w:val="0"/>
          <w:lang w:val="da-DK"/>
        </w:rPr>
        <w:t xml:space="preserve"> daglig) i kombination.</w:t>
      </w:r>
    </w:p>
    <w:p w14:paraId="0978AF61" w14:textId="77777777" w:rsidR="003563EF" w:rsidRPr="001278B6" w:rsidRDefault="003563EF" w:rsidP="001278B6">
      <w:pPr>
        <w:pStyle w:val="a3"/>
        <w:widowControl/>
        <w:adjustRightInd w:val="0"/>
        <w:snapToGrid w:val="0"/>
        <w:rPr>
          <w:snapToGrid w:val="0"/>
          <w:lang w:val="da-DK"/>
        </w:rPr>
      </w:pPr>
    </w:p>
    <w:p w14:paraId="75ECC76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MAHA er en hæmolytisk lidelse, som kan optræde med fragmentering af røde blodlegemer, anæmi og thrombocytopeni. Nogle patienter kan derudover lide af hypertension (inklusive hypertensive kriser), forhøjet kreatinin og neurologiske symptomer. Alle symptomerne var reversible efter afbrydelse af behandling med bevacizumab og sunitinibmaleat (se </w:t>
      </w:r>
      <w:r w:rsidRPr="001278B6">
        <w:rPr>
          <w:i/>
          <w:snapToGrid w:val="0"/>
          <w:lang w:val="da-DK"/>
        </w:rPr>
        <w:t>Hypertension</w:t>
      </w:r>
      <w:r w:rsidRPr="001278B6">
        <w:rPr>
          <w:snapToGrid w:val="0"/>
          <w:lang w:val="da-DK"/>
        </w:rPr>
        <w:t xml:space="preserve">, </w:t>
      </w:r>
      <w:r w:rsidRPr="001278B6">
        <w:rPr>
          <w:i/>
          <w:snapToGrid w:val="0"/>
          <w:lang w:val="da-DK"/>
        </w:rPr>
        <w:t>Proteinuria</w:t>
      </w:r>
      <w:r w:rsidRPr="001278B6">
        <w:rPr>
          <w:snapToGrid w:val="0"/>
          <w:lang w:val="da-DK"/>
        </w:rPr>
        <w:t xml:space="preserve">, </w:t>
      </w:r>
      <w:r w:rsidRPr="001278B6">
        <w:rPr>
          <w:i/>
          <w:snapToGrid w:val="0"/>
          <w:lang w:val="da-DK"/>
        </w:rPr>
        <w:t xml:space="preserve">PRES </w:t>
      </w:r>
      <w:r w:rsidRPr="001278B6">
        <w:rPr>
          <w:snapToGrid w:val="0"/>
          <w:lang w:val="da-DK"/>
        </w:rPr>
        <w:t>i pkt. 4.4).</w:t>
      </w:r>
    </w:p>
    <w:p w14:paraId="17AA5F83" w14:textId="77777777" w:rsidR="003563EF" w:rsidRPr="001278B6" w:rsidRDefault="003563EF" w:rsidP="001278B6">
      <w:pPr>
        <w:pStyle w:val="a3"/>
        <w:widowControl/>
        <w:adjustRightInd w:val="0"/>
        <w:snapToGrid w:val="0"/>
        <w:rPr>
          <w:snapToGrid w:val="0"/>
          <w:lang w:val="da-DK"/>
        </w:rPr>
      </w:pPr>
    </w:p>
    <w:p w14:paraId="7E1ED4C4" w14:textId="77777777" w:rsidR="003563EF" w:rsidRPr="00F466A3" w:rsidRDefault="00473235" w:rsidP="001278B6">
      <w:pPr>
        <w:keepNext/>
        <w:keepLines/>
        <w:widowControl/>
        <w:adjustRightInd w:val="0"/>
        <w:snapToGrid w:val="0"/>
        <w:rPr>
          <w:iCs/>
          <w:snapToGrid w:val="0"/>
          <w:lang w:val="da-DK"/>
        </w:rPr>
      </w:pPr>
      <w:r w:rsidRPr="00F466A3">
        <w:rPr>
          <w:iCs/>
          <w:snapToGrid w:val="0"/>
          <w:u w:val="single"/>
          <w:lang w:val="da-DK"/>
        </w:rPr>
        <w:t>Kombination med platin</w:t>
      </w:r>
      <w:r w:rsidR="004B3750" w:rsidRPr="00F466A3">
        <w:rPr>
          <w:iCs/>
          <w:snapToGrid w:val="0"/>
          <w:u w:val="single"/>
          <w:lang w:val="da-DK"/>
        </w:rPr>
        <w:noBreakHyphen/>
      </w:r>
      <w:r w:rsidRPr="00F466A3">
        <w:rPr>
          <w:iCs/>
          <w:snapToGrid w:val="0"/>
          <w:u w:val="single"/>
          <w:lang w:val="da-DK"/>
        </w:rPr>
        <w:t xml:space="preserve"> eller taxanbaserede terapier</w:t>
      </w:r>
      <w:r w:rsidRPr="00F466A3">
        <w:rPr>
          <w:iCs/>
          <w:snapToGrid w:val="0"/>
          <w:lang w:val="da-DK"/>
        </w:rPr>
        <w:t xml:space="preserve"> (se pkt. 4.4 og 4.8)</w:t>
      </w:r>
    </w:p>
    <w:p w14:paraId="7FD55B89" w14:textId="77777777" w:rsidR="003563EF" w:rsidRPr="001278B6" w:rsidRDefault="00473235" w:rsidP="001278B6">
      <w:pPr>
        <w:pStyle w:val="a3"/>
        <w:widowControl/>
        <w:adjustRightInd w:val="0"/>
        <w:snapToGrid w:val="0"/>
        <w:rPr>
          <w:snapToGrid w:val="0"/>
          <w:lang w:val="da-DK"/>
        </w:rPr>
      </w:pPr>
      <w:r w:rsidRPr="001278B6">
        <w:rPr>
          <w:snapToGrid w:val="0"/>
          <w:lang w:val="da-DK"/>
        </w:rPr>
        <w:t>Øget hyppighed af alvorlig neutropeni, febril neutropeni eller infektion med eller uden alvorlig neutropeni (herunder nogle dødsfald) er hovedsagelig blevet observeret hos patienter behandlet med platin</w:t>
      </w:r>
      <w:r w:rsidR="004B3750">
        <w:rPr>
          <w:snapToGrid w:val="0"/>
          <w:lang w:val="da-DK"/>
        </w:rPr>
        <w:noBreakHyphen/>
      </w:r>
      <w:r w:rsidRPr="001278B6">
        <w:rPr>
          <w:snapToGrid w:val="0"/>
          <w:lang w:val="da-DK"/>
        </w:rPr>
        <w:t xml:space="preserve"> eller taxanbaserede terapier i behandlingen af NSCLC og mBC.</w:t>
      </w:r>
    </w:p>
    <w:p w14:paraId="37258C2F" w14:textId="77777777" w:rsidR="003563EF" w:rsidRPr="001278B6" w:rsidRDefault="003563EF" w:rsidP="001278B6">
      <w:pPr>
        <w:pStyle w:val="a3"/>
        <w:widowControl/>
        <w:adjustRightInd w:val="0"/>
        <w:snapToGrid w:val="0"/>
        <w:rPr>
          <w:snapToGrid w:val="0"/>
          <w:lang w:val="da-DK"/>
        </w:rPr>
      </w:pPr>
    </w:p>
    <w:p w14:paraId="367FB2D4"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Strålebehandling</w:t>
      </w:r>
    </w:p>
    <w:p w14:paraId="5BFC3AF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Sikkerheden og effekten af samtidigt administreret strålebehandling og </w:t>
      </w:r>
      <w:r w:rsidR="00F86A89">
        <w:rPr>
          <w:snapToGrid w:val="0"/>
          <w:lang w:val="da-DK"/>
        </w:rPr>
        <w:t>bevacizumab</w:t>
      </w:r>
      <w:r w:rsidRPr="001278B6">
        <w:rPr>
          <w:snapToGrid w:val="0"/>
          <w:lang w:val="da-DK"/>
        </w:rPr>
        <w:t xml:space="preserve"> er ikke fastlagt.</w:t>
      </w:r>
    </w:p>
    <w:p w14:paraId="76700327" w14:textId="77777777" w:rsidR="003563EF" w:rsidRPr="001278B6" w:rsidRDefault="003563EF" w:rsidP="001278B6">
      <w:pPr>
        <w:pStyle w:val="a3"/>
        <w:widowControl/>
        <w:adjustRightInd w:val="0"/>
        <w:snapToGrid w:val="0"/>
        <w:rPr>
          <w:snapToGrid w:val="0"/>
          <w:lang w:val="da-DK"/>
        </w:rPr>
      </w:pPr>
    </w:p>
    <w:p w14:paraId="4235EA0D"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lastRenderedPageBreak/>
        <w:t>Epidermal Growth Factor Receptor (EGFR)</w:t>
      </w:r>
      <w:r w:rsidR="004B3750" w:rsidRPr="00F466A3">
        <w:rPr>
          <w:iCs/>
          <w:snapToGrid w:val="0"/>
          <w:u w:val="single"/>
          <w:lang w:val="da-DK"/>
        </w:rPr>
        <w:noBreakHyphen/>
      </w:r>
      <w:r w:rsidRPr="00F466A3">
        <w:rPr>
          <w:iCs/>
          <w:snapToGrid w:val="0"/>
          <w:u w:val="single"/>
          <w:lang w:val="da-DK"/>
        </w:rPr>
        <w:t>monoklonale antistoffer i kombination med kemoterapi, som indeholder bevacizumab</w:t>
      </w:r>
    </w:p>
    <w:p w14:paraId="2960CA5E"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ikke udført interaktionsstudier. EGFR</w:t>
      </w:r>
      <w:r w:rsidR="004B3750">
        <w:rPr>
          <w:snapToGrid w:val="0"/>
          <w:lang w:val="da-DK"/>
        </w:rPr>
        <w:noBreakHyphen/>
      </w:r>
      <w:r w:rsidRPr="001278B6">
        <w:rPr>
          <w:snapToGrid w:val="0"/>
          <w:lang w:val="da-DK"/>
        </w:rPr>
        <w:t>monoklonale antistoffer bør ikke anvendes til behandling af metastatisk kolorektalkræft i kombination med kemoterapi, som indeholder bevacizumab.</w:t>
      </w:r>
    </w:p>
    <w:p w14:paraId="0140433B" w14:textId="77777777" w:rsidR="003563EF" w:rsidRPr="001278B6" w:rsidRDefault="00473235" w:rsidP="001278B6">
      <w:pPr>
        <w:pStyle w:val="a3"/>
        <w:widowControl/>
        <w:adjustRightInd w:val="0"/>
        <w:snapToGrid w:val="0"/>
        <w:rPr>
          <w:snapToGrid w:val="0"/>
          <w:lang w:val="da-DK"/>
        </w:rPr>
      </w:pPr>
      <w:r w:rsidRPr="001278B6">
        <w:rPr>
          <w:snapToGrid w:val="0"/>
          <w:lang w:val="da-DK"/>
        </w:rPr>
        <w:t>Resultater fra de randomiserede fase III</w:t>
      </w:r>
      <w:r w:rsidR="004B3750">
        <w:rPr>
          <w:snapToGrid w:val="0"/>
          <w:lang w:val="da-DK"/>
        </w:rPr>
        <w:noBreakHyphen/>
      </w:r>
      <w:r w:rsidRPr="001278B6">
        <w:rPr>
          <w:snapToGrid w:val="0"/>
          <w:lang w:val="da-DK"/>
        </w:rPr>
        <w:t>studier, PACCE og CAIRO</w:t>
      </w:r>
      <w:r w:rsidR="004B3750">
        <w:rPr>
          <w:snapToGrid w:val="0"/>
          <w:lang w:val="da-DK"/>
        </w:rPr>
        <w:noBreakHyphen/>
      </w:r>
      <w:r w:rsidRPr="001278B6">
        <w:rPr>
          <w:snapToGrid w:val="0"/>
          <w:lang w:val="da-DK"/>
        </w:rPr>
        <w:t>2, hos patienter med metastisk karcinom i colon eller rectum tyder på, at anvendelse af anti</w:t>
      </w:r>
      <w:r w:rsidR="004B3750">
        <w:rPr>
          <w:snapToGrid w:val="0"/>
          <w:lang w:val="da-DK"/>
        </w:rPr>
        <w:noBreakHyphen/>
      </w:r>
      <w:r w:rsidRPr="001278B6">
        <w:rPr>
          <w:snapToGrid w:val="0"/>
          <w:lang w:val="da-DK"/>
        </w:rPr>
        <w:t>EGFR monoklonale antistoffer, henholdsvis panitumumab og cetuximab, i kombination med bevaxizumab og kemoterapi, er forbundet med nedsat progressionsfri overlevelse (PFS) og/eller samlet overlevelse (OS) samt øget toksicitet sammenlignet med bevacizumab og kemoterapi alene.</w:t>
      </w:r>
    </w:p>
    <w:p w14:paraId="195FE210" w14:textId="77777777" w:rsidR="003563EF" w:rsidRPr="001278B6" w:rsidRDefault="003563EF" w:rsidP="001278B6">
      <w:pPr>
        <w:pStyle w:val="a3"/>
        <w:widowControl/>
        <w:adjustRightInd w:val="0"/>
        <w:snapToGrid w:val="0"/>
        <w:rPr>
          <w:snapToGrid w:val="0"/>
          <w:lang w:val="da-DK"/>
        </w:rPr>
      </w:pPr>
    </w:p>
    <w:p w14:paraId="0E703910"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Fertilitet, graviditet og amning</w:t>
      </w:r>
    </w:p>
    <w:p w14:paraId="0249D11A" w14:textId="77777777" w:rsidR="003563EF" w:rsidRPr="001278B6" w:rsidRDefault="003563EF" w:rsidP="001278B6">
      <w:pPr>
        <w:pStyle w:val="a3"/>
        <w:keepNext/>
        <w:keepLines/>
        <w:widowControl/>
        <w:adjustRightInd w:val="0"/>
        <w:snapToGrid w:val="0"/>
        <w:rPr>
          <w:b/>
          <w:snapToGrid w:val="0"/>
          <w:lang w:val="da-DK"/>
        </w:rPr>
      </w:pPr>
    </w:p>
    <w:p w14:paraId="64E789B4"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Kvinder i den fertile alder</w:t>
      </w:r>
    </w:p>
    <w:p w14:paraId="219AA9E1" w14:textId="77777777" w:rsidR="003563EF" w:rsidRPr="001278B6" w:rsidRDefault="00473235" w:rsidP="001278B6">
      <w:pPr>
        <w:pStyle w:val="a3"/>
        <w:widowControl/>
        <w:adjustRightInd w:val="0"/>
        <w:snapToGrid w:val="0"/>
        <w:rPr>
          <w:snapToGrid w:val="0"/>
          <w:lang w:val="da-DK"/>
        </w:rPr>
      </w:pPr>
      <w:r w:rsidRPr="001278B6">
        <w:rPr>
          <w:snapToGrid w:val="0"/>
          <w:lang w:val="da-DK"/>
        </w:rPr>
        <w:t>Kvinder i den fertile alder skal anvende effektiv kontraception under og i op til 6 måneder efter behandling.</w:t>
      </w:r>
    </w:p>
    <w:p w14:paraId="4573E99D" w14:textId="77777777" w:rsidR="003563EF" w:rsidRPr="001278B6" w:rsidRDefault="003563EF" w:rsidP="001278B6">
      <w:pPr>
        <w:pStyle w:val="a3"/>
        <w:widowControl/>
        <w:adjustRightInd w:val="0"/>
        <w:snapToGrid w:val="0"/>
        <w:rPr>
          <w:snapToGrid w:val="0"/>
          <w:lang w:val="da-DK"/>
        </w:rPr>
      </w:pPr>
    </w:p>
    <w:p w14:paraId="0AD613D0"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Graviditet</w:t>
      </w:r>
    </w:p>
    <w:p w14:paraId="51C2DBF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ingen data fra kliniske studier om anvendelse af </w:t>
      </w:r>
      <w:r w:rsidR="00F86A89">
        <w:rPr>
          <w:snapToGrid w:val="0"/>
          <w:lang w:val="da-DK"/>
        </w:rPr>
        <w:t>bevacizumab</w:t>
      </w:r>
      <w:r w:rsidRPr="001278B6">
        <w:rPr>
          <w:snapToGrid w:val="0"/>
          <w:lang w:val="da-DK"/>
        </w:rPr>
        <w:t xml:space="preserve"> til gravide kvinder. Dyrestudier har vist reproduktionstoksicitet, inklusive malformationer (se pkt. 5.3). Det vides, at </w:t>
      </w:r>
      <w:r w:rsidR="00D06DDB">
        <w:rPr>
          <w:snapToGrid w:val="0"/>
          <w:lang w:val="da-DK"/>
        </w:rPr>
        <w:t>immunglobulinGs (</w:t>
      </w:r>
      <w:r w:rsidRPr="001278B6">
        <w:rPr>
          <w:snapToGrid w:val="0"/>
          <w:lang w:val="da-DK"/>
        </w:rPr>
        <w:t>IgG</w:t>
      </w:r>
      <w:r w:rsidR="00D06DDB">
        <w:rPr>
          <w:snapToGrid w:val="0"/>
          <w:lang w:val="da-DK"/>
        </w:rPr>
        <w:t>)</w:t>
      </w:r>
      <w:r w:rsidRPr="001278B6">
        <w:rPr>
          <w:snapToGrid w:val="0"/>
          <w:lang w:val="da-DK"/>
        </w:rPr>
        <w:t xml:space="preserve"> passerer</w:t>
      </w:r>
      <w:r w:rsidR="00A82547">
        <w:rPr>
          <w:snapToGrid w:val="0"/>
          <w:lang w:val="da-DK"/>
        </w:rPr>
        <w:t xml:space="preserve"> </w:t>
      </w:r>
      <w:r w:rsidRPr="001278B6">
        <w:rPr>
          <w:snapToGrid w:val="0"/>
          <w:lang w:val="da-DK"/>
        </w:rPr>
        <w:t xml:space="preserve">placentabarrieren, og </w:t>
      </w:r>
      <w:r w:rsidR="00F86A89">
        <w:rPr>
          <w:snapToGrid w:val="0"/>
          <w:lang w:val="da-DK"/>
        </w:rPr>
        <w:t>bevacizumab</w:t>
      </w:r>
      <w:r w:rsidRPr="001278B6">
        <w:rPr>
          <w:snapToGrid w:val="0"/>
          <w:lang w:val="da-DK"/>
        </w:rPr>
        <w:t xml:space="preserve"> forventes at hæmme angiogenesen hos fostret og er dermed under mistanke for at kunne forårsage alvorlige medfødte misdannelser ved indgivelse under graviditet. Efter markedsføring er der observeret tilfælde af anormaliteter hos fostre, hvor moderen er blevet behandlet med bevacizumab alene eller i kombination med kemoterapeutika med kendt embryotoksicitet (se pkt.</w:t>
      </w:r>
      <w:r w:rsidR="00A03FE9">
        <w:rPr>
          <w:snapToGrid w:val="0"/>
          <w:lang w:val="da-DK"/>
        </w:rPr>
        <w:t> </w:t>
      </w:r>
      <w:r w:rsidRPr="001278B6">
        <w:rPr>
          <w:snapToGrid w:val="0"/>
          <w:lang w:val="da-DK"/>
        </w:rPr>
        <w:t xml:space="preserve">4.8). </w:t>
      </w:r>
      <w:r w:rsidR="00F86A89">
        <w:rPr>
          <w:snapToGrid w:val="0"/>
          <w:lang w:val="da-DK"/>
        </w:rPr>
        <w:t>Bevacizumab</w:t>
      </w:r>
      <w:r w:rsidRPr="001278B6">
        <w:rPr>
          <w:snapToGrid w:val="0"/>
          <w:lang w:val="da-DK"/>
        </w:rPr>
        <w:t xml:space="preserve"> er kontraindiceret under graviditet (se pkt. 4.3).</w:t>
      </w:r>
    </w:p>
    <w:p w14:paraId="3B7E796A" w14:textId="77777777" w:rsidR="003563EF" w:rsidRPr="001278B6" w:rsidRDefault="003563EF" w:rsidP="001278B6">
      <w:pPr>
        <w:pStyle w:val="a3"/>
        <w:widowControl/>
        <w:adjustRightInd w:val="0"/>
        <w:snapToGrid w:val="0"/>
        <w:rPr>
          <w:snapToGrid w:val="0"/>
          <w:lang w:val="da-DK"/>
        </w:rPr>
      </w:pPr>
    </w:p>
    <w:p w14:paraId="7E049EB0"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Amning</w:t>
      </w:r>
    </w:p>
    <w:p w14:paraId="1248B536"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Det vides ikke, om bevacizumab udskilles i human mælk. Idet maternel IgG udskilles i mælk, og da bevacizumab kan skade barnets vækst og udvikling (se pkt. 5.3), skal kvinden stoppe med at amme under behandlingen og i mindst 6 måneder efter sidste </w:t>
      </w:r>
      <w:r w:rsidR="00F86A89">
        <w:rPr>
          <w:snapToGrid w:val="0"/>
          <w:lang w:val="da-DK"/>
        </w:rPr>
        <w:t>bevacizumab</w:t>
      </w:r>
      <w:r w:rsidRPr="001278B6">
        <w:rPr>
          <w:snapToGrid w:val="0"/>
          <w:lang w:val="da-DK"/>
        </w:rPr>
        <w:t>dosis.</w:t>
      </w:r>
    </w:p>
    <w:p w14:paraId="0A5C820E" w14:textId="77777777" w:rsidR="003563EF" w:rsidRPr="001278B6" w:rsidRDefault="003563EF" w:rsidP="001278B6">
      <w:pPr>
        <w:pStyle w:val="a3"/>
        <w:widowControl/>
        <w:adjustRightInd w:val="0"/>
        <w:snapToGrid w:val="0"/>
        <w:rPr>
          <w:snapToGrid w:val="0"/>
          <w:lang w:val="da-DK"/>
        </w:rPr>
      </w:pPr>
    </w:p>
    <w:p w14:paraId="19F617B9" w14:textId="77777777" w:rsidR="003563EF" w:rsidRPr="00F466A3" w:rsidRDefault="00473235" w:rsidP="001278B6">
      <w:pPr>
        <w:keepNext/>
        <w:keepLines/>
        <w:widowControl/>
        <w:adjustRightInd w:val="0"/>
        <w:snapToGrid w:val="0"/>
        <w:rPr>
          <w:iCs/>
          <w:snapToGrid w:val="0"/>
          <w:u w:val="single"/>
          <w:lang w:val="da-DK"/>
        </w:rPr>
      </w:pPr>
      <w:r w:rsidRPr="00F466A3">
        <w:rPr>
          <w:iCs/>
          <w:snapToGrid w:val="0"/>
          <w:u w:val="single"/>
          <w:lang w:val="da-DK"/>
        </w:rPr>
        <w:t>Fertilitet</w:t>
      </w:r>
    </w:p>
    <w:p w14:paraId="10F8D65F" w14:textId="77777777" w:rsidR="003563EF" w:rsidRPr="001278B6" w:rsidRDefault="00473235" w:rsidP="001278B6">
      <w:pPr>
        <w:pStyle w:val="a3"/>
        <w:widowControl/>
        <w:adjustRightInd w:val="0"/>
        <w:snapToGrid w:val="0"/>
        <w:rPr>
          <w:snapToGrid w:val="0"/>
          <w:lang w:val="da-DK"/>
        </w:rPr>
      </w:pPr>
      <w:r w:rsidRPr="001278B6">
        <w:rPr>
          <w:snapToGrid w:val="0"/>
          <w:lang w:val="da-DK"/>
        </w:rPr>
        <w:t>Toksicitetsstudier på dyr med gentagne doser har vist, at bevacizumab kan have en ugunstig virkning på hunners fertilitet (se pkt. 5.3). I et fase III</w:t>
      </w:r>
      <w:r w:rsidR="004B3750">
        <w:rPr>
          <w:snapToGrid w:val="0"/>
          <w:lang w:val="da-DK"/>
        </w:rPr>
        <w:noBreakHyphen/>
      </w:r>
      <w:r w:rsidRPr="001278B6">
        <w:rPr>
          <w:snapToGrid w:val="0"/>
          <w:lang w:val="da-DK"/>
        </w:rPr>
        <w:t>studie med adjuverende behandling hos patienter med coloncancer har et substudie med præmenopausale kvinder vist en højere hyppighed af nye tilfælde af ovariesvigt i bevacizumab</w:t>
      </w:r>
      <w:r w:rsidR="004B3750">
        <w:rPr>
          <w:snapToGrid w:val="0"/>
          <w:lang w:val="da-DK"/>
        </w:rPr>
        <w:noBreakHyphen/>
      </w:r>
      <w:r w:rsidRPr="001278B6">
        <w:rPr>
          <w:snapToGrid w:val="0"/>
          <w:lang w:val="da-DK"/>
        </w:rPr>
        <w:t>gruppen sammenlignet med kontrolgruppen. Ovariefunktionen blev genoprettet hos størstedelen af patienterne efter seponering af bevacizumab. Langtidsvirkningerne af bevacizumab</w:t>
      </w:r>
      <w:r w:rsidR="004B3750">
        <w:rPr>
          <w:snapToGrid w:val="0"/>
          <w:lang w:val="da-DK"/>
        </w:rPr>
        <w:noBreakHyphen/>
      </w:r>
      <w:r w:rsidRPr="001278B6">
        <w:rPr>
          <w:snapToGrid w:val="0"/>
          <w:lang w:val="da-DK"/>
        </w:rPr>
        <w:t>behandling på fertiliteten er ukendt.</w:t>
      </w:r>
    </w:p>
    <w:p w14:paraId="3544BCE6" w14:textId="77777777" w:rsidR="003563EF" w:rsidRPr="001278B6" w:rsidRDefault="003563EF" w:rsidP="001278B6">
      <w:pPr>
        <w:pStyle w:val="a3"/>
        <w:widowControl/>
        <w:adjustRightInd w:val="0"/>
        <w:snapToGrid w:val="0"/>
        <w:rPr>
          <w:snapToGrid w:val="0"/>
          <w:lang w:val="da-DK"/>
        </w:rPr>
      </w:pPr>
    </w:p>
    <w:p w14:paraId="290F9AD9"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Virkning på evnen til at føre motorkøretøj og betjene maskiner</w:t>
      </w:r>
    </w:p>
    <w:p w14:paraId="56B441C2" w14:textId="77777777" w:rsidR="003563EF" w:rsidRPr="001278B6" w:rsidRDefault="003563EF" w:rsidP="001278B6">
      <w:pPr>
        <w:pStyle w:val="a3"/>
        <w:keepNext/>
        <w:keepLines/>
        <w:widowControl/>
        <w:adjustRightInd w:val="0"/>
        <w:snapToGrid w:val="0"/>
        <w:rPr>
          <w:bCs/>
          <w:snapToGrid w:val="0"/>
          <w:lang w:val="da-DK"/>
        </w:rPr>
      </w:pPr>
    </w:p>
    <w:p w14:paraId="5C4BA1E4" w14:textId="77777777" w:rsidR="003563EF" w:rsidRPr="001278B6" w:rsidRDefault="00F86A89" w:rsidP="001278B6">
      <w:pPr>
        <w:pStyle w:val="a3"/>
        <w:widowControl/>
        <w:adjustRightInd w:val="0"/>
        <w:snapToGrid w:val="0"/>
        <w:rPr>
          <w:snapToGrid w:val="0"/>
          <w:lang w:val="da-DK"/>
        </w:rPr>
      </w:pPr>
      <w:r>
        <w:rPr>
          <w:snapToGrid w:val="0"/>
          <w:lang w:val="da-DK"/>
        </w:rPr>
        <w:t>Bevacizumab</w:t>
      </w:r>
      <w:r w:rsidR="00473235" w:rsidRPr="001278B6">
        <w:rPr>
          <w:snapToGrid w:val="0"/>
          <w:lang w:val="da-DK"/>
        </w:rPr>
        <w:t xml:space="preserve"> påvirker ikke eller kun i ubetydelig grad evnen til at føre motorkøretøj og betjene maskiner. Alligevel er søvnighed og synkope blevet rapporteret ved anvendelse af </w:t>
      </w:r>
      <w:r>
        <w:rPr>
          <w:snapToGrid w:val="0"/>
          <w:lang w:val="da-DK"/>
        </w:rPr>
        <w:t>bevacizumab</w:t>
      </w:r>
      <w:r w:rsidR="00473235" w:rsidRPr="001278B6">
        <w:rPr>
          <w:snapToGrid w:val="0"/>
          <w:lang w:val="da-DK"/>
        </w:rPr>
        <w:t xml:space="preserve"> (se tabel 1, pkt. 4.8). Hvis patienter oplever symptomer, som påvirker deres syn eller koncentration eller deres reaktionsevne, bør de frarådes at køre bil eller betjene maskiner indtil symptomerne aftager.</w:t>
      </w:r>
    </w:p>
    <w:p w14:paraId="5C8E8FAD" w14:textId="77777777" w:rsidR="003563EF" w:rsidRPr="001278B6" w:rsidRDefault="003563EF" w:rsidP="001278B6">
      <w:pPr>
        <w:pStyle w:val="a3"/>
        <w:widowControl/>
        <w:adjustRightInd w:val="0"/>
        <w:snapToGrid w:val="0"/>
        <w:rPr>
          <w:snapToGrid w:val="0"/>
          <w:lang w:val="da-DK"/>
        </w:rPr>
      </w:pPr>
    </w:p>
    <w:p w14:paraId="642AD69B"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Bivirkninger</w:t>
      </w:r>
    </w:p>
    <w:p w14:paraId="5A77F4B0" w14:textId="77777777" w:rsidR="003563EF" w:rsidRPr="001278B6" w:rsidRDefault="003563EF" w:rsidP="001278B6">
      <w:pPr>
        <w:pStyle w:val="a3"/>
        <w:keepLines/>
        <w:widowControl/>
        <w:adjustRightInd w:val="0"/>
        <w:snapToGrid w:val="0"/>
        <w:rPr>
          <w:b/>
          <w:snapToGrid w:val="0"/>
          <w:lang w:val="da-DK"/>
        </w:rPr>
      </w:pPr>
    </w:p>
    <w:p w14:paraId="46F2F1DB"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Resumé af sikkerhedsprofilen</w:t>
      </w:r>
    </w:p>
    <w:p w14:paraId="71354A4E" w14:textId="77777777" w:rsidR="003563EF" w:rsidRPr="001278B6" w:rsidRDefault="003563EF" w:rsidP="001278B6">
      <w:pPr>
        <w:pStyle w:val="a3"/>
        <w:keepNext/>
        <w:keepLines/>
        <w:widowControl/>
        <w:adjustRightInd w:val="0"/>
        <w:snapToGrid w:val="0"/>
        <w:rPr>
          <w:snapToGrid w:val="0"/>
          <w:lang w:val="da-DK"/>
        </w:rPr>
      </w:pPr>
    </w:p>
    <w:p w14:paraId="247073D2"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Sikkerhedsprofilen for </w:t>
      </w:r>
      <w:r w:rsidR="00F86A89">
        <w:rPr>
          <w:snapToGrid w:val="0"/>
          <w:lang w:val="da-DK"/>
        </w:rPr>
        <w:t>bevacizumab</w:t>
      </w:r>
      <w:r w:rsidRPr="001278B6">
        <w:rPr>
          <w:snapToGrid w:val="0"/>
          <w:lang w:val="da-DK"/>
        </w:rPr>
        <w:t xml:space="preserve"> er baseret på data fra kliniske studier med over 5.700 patienter med forskellige maligne sygdomme, som primært blev behandlet med </w:t>
      </w:r>
      <w:r w:rsidR="00F86A89">
        <w:rPr>
          <w:snapToGrid w:val="0"/>
          <w:lang w:val="da-DK"/>
        </w:rPr>
        <w:t>bevacizumab</w:t>
      </w:r>
      <w:r w:rsidRPr="001278B6">
        <w:rPr>
          <w:snapToGrid w:val="0"/>
          <w:lang w:val="da-DK"/>
        </w:rPr>
        <w:t xml:space="preserve"> i kombination med kemoterapi.</w:t>
      </w:r>
    </w:p>
    <w:p w14:paraId="0917FEE8" w14:textId="77777777" w:rsidR="003563EF" w:rsidRPr="001278B6" w:rsidRDefault="003563EF" w:rsidP="001278B6">
      <w:pPr>
        <w:pStyle w:val="a3"/>
        <w:widowControl/>
        <w:adjustRightInd w:val="0"/>
        <w:snapToGrid w:val="0"/>
        <w:rPr>
          <w:snapToGrid w:val="0"/>
          <w:lang w:val="da-DK"/>
        </w:rPr>
      </w:pPr>
    </w:p>
    <w:p w14:paraId="789AC5EC"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De alvorligste bivirkninger var:</w:t>
      </w:r>
    </w:p>
    <w:p w14:paraId="64A7DF0D" w14:textId="77777777" w:rsidR="003563EF" w:rsidRPr="001278B6" w:rsidRDefault="003563EF" w:rsidP="001278B6">
      <w:pPr>
        <w:pStyle w:val="a3"/>
        <w:keepNext/>
        <w:keepLines/>
        <w:widowControl/>
        <w:adjustRightInd w:val="0"/>
        <w:snapToGrid w:val="0"/>
        <w:rPr>
          <w:snapToGrid w:val="0"/>
          <w:lang w:val="da-DK"/>
        </w:rPr>
      </w:pPr>
    </w:p>
    <w:p w14:paraId="1724DA5B" w14:textId="77777777" w:rsidR="003563EF" w:rsidRPr="001278B6" w:rsidRDefault="00473235" w:rsidP="001278B6">
      <w:pPr>
        <w:pStyle w:val="Bullet1"/>
        <w:widowControl/>
        <w:rPr>
          <w:lang w:val="da-DK"/>
        </w:rPr>
      </w:pPr>
      <w:r w:rsidRPr="001278B6">
        <w:rPr>
          <w:lang w:val="da-DK"/>
        </w:rPr>
        <w:t>Gastrointestinale perforationer (se pkt. 4.4).</w:t>
      </w:r>
    </w:p>
    <w:p w14:paraId="7BD9865C" w14:textId="77777777" w:rsidR="003563EF" w:rsidRPr="001278B6" w:rsidRDefault="00473235" w:rsidP="001278B6">
      <w:pPr>
        <w:pStyle w:val="Bullet1"/>
        <w:widowControl/>
        <w:rPr>
          <w:lang w:val="da-DK"/>
        </w:rPr>
      </w:pPr>
      <w:r w:rsidRPr="001278B6">
        <w:rPr>
          <w:lang w:val="da-DK"/>
        </w:rPr>
        <w:lastRenderedPageBreak/>
        <w:t xml:space="preserve">Blødninger, inklusive pulmonal blødning/hæmoptyse, som er mere almindelig hos patienter med </w:t>
      </w:r>
      <w:r w:rsidR="00C52D30">
        <w:rPr>
          <w:lang w:val="da-DK"/>
        </w:rPr>
        <w:t>NSCLC</w:t>
      </w:r>
      <w:r w:rsidRPr="001278B6">
        <w:rPr>
          <w:lang w:val="da-DK"/>
        </w:rPr>
        <w:t xml:space="preserve"> (se pkt. 4.4).</w:t>
      </w:r>
    </w:p>
    <w:p w14:paraId="63046531" w14:textId="77777777" w:rsidR="003563EF" w:rsidRPr="001278B6" w:rsidRDefault="00473235" w:rsidP="001278B6">
      <w:pPr>
        <w:pStyle w:val="Bullet1"/>
        <w:widowControl/>
        <w:rPr>
          <w:lang w:val="da-DK"/>
        </w:rPr>
      </w:pPr>
      <w:r w:rsidRPr="001278B6">
        <w:rPr>
          <w:lang w:val="da-DK"/>
        </w:rPr>
        <w:t>Arteriel tromboemboli (se også pkt. 4.4).</w:t>
      </w:r>
    </w:p>
    <w:p w14:paraId="3AAAE6B0" w14:textId="77777777" w:rsidR="003563EF" w:rsidRPr="001278B6" w:rsidRDefault="003563EF" w:rsidP="001278B6">
      <w:pPr>
        <w:pStyle w:val="a3"/>
        <w:widowControl/>
        <w:adjustRightInd w:val="0"/>
        <w:snapToGrid w:val="0"/>
        <w:rPr>
          <w:snapToGrid w:val="0"/>
          <w:lang w:val="da-DK"/>
        </w:rPr>
      </w:pPr>
    </w:p>
    <w:p w14:paraId="4960B84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 hyppigst observerede bivirkninger i alle kliniske studier hos patienter, som fik </w:t>
      </w:r>
      <w:r w:rsidR="00C52D30">
        <w:rPr>
          <w:snapToGrid w:val="0"/>
          <w:lang w:val="da-DK"/>
        </w:rPr>
        <w:t>bevacizumab</w:t>
      </w:r>
      <w:r w:rsidRPr="001278B6">
        <w:rPr>
          <w:snapToGrid w:val="0"/>
          <w:lang w:val="da-DK"/>
        </w:rPr>
        <w:t>, var hypertension, træthed eller asteni, diarré og abdominalsmerter.</w:t>
      </w:r>
    </w:p>
    <w:p w14:paraId="1E89E9BD" w14:textId="77777777" w:rsidR="003563EF" w:rsidRPr="001278B6" w:rsidRDefault="003563EF" w:rsidP="001278B6">
      <w:pPr>
        <w:pStyle w:val="a3"/>
        <w:widowControl/>
        <w:adjustRightInd w:val="0"/>
        <w:snapToGrid w:val="0"/>
        <w:rPr>
          <w:snapToGrid w:val="0"/>
          <w:lang w:val="da-DK"/>
        </w:rPr>
      </w:pPr>
    </w:p>
    <w:p w14:paraId="2BD8B3C1"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Analyser af de kliniske sikkerhedsdata tyder på, at forekomst af hypertension og proteinuri efter behandling med </w:t>
      </w:r>
      <w:r w:rsidR="00C52D30">
        <w:rPr>
          <w:snapToGrid w:val="0"/>
          <w:lang w:val="da-DK"/>
        </w:rPr>
        <w:t>bevacizumab</w:t>
      </w:r>
      <w:r w:rsidRPr="001278B6">
        <w:rPr>
          <w:snapToGrid w:val="0"/>
          <w:lang w:val="da-DK"/>
        </w:rPr>
        <w:t xml:space="preserve"> sandsynligvis er dosisafhængig.</w:t>
      </w:r>
    </w:p>
    <w:p w14:paraId="3374C084" w14:textId="77777777" w:rsidR="003563EF" w:rsidRPr="001278B6" w:rsidRDefault="003563EF" w:rsidP="001278B6">
      <w:pPr>
        <w:pStyle w:val="a3"/>
        <w:widowControl/>
        <w:adjustRightInd w:val="0"/>
        <w:snapToGrid w:val="0"/>
        <w:rPr>
          <w:snapToGrid w:val="0"/>
          <w:lang w:val="da-DK"/>
        </w:rPr>
      </w:pPr>
    </w:p>
    <w:p w14:paraId="210A53C8"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Bivirkninger i tabelform</w:t>
      </w:r>
    </w:p>
    <w:p w14:paraId="243CF29B" w14:textId="77777777" w:rsidR="003563EF" w:rsidRPr="001278B6" w:rsidRDefault="003563EF" w:rsidP="001278B6">
      <w:pPr>
        <w:pStyle w:val="a3"/>
        <w:keepNext/>
        <w:keepLines/>
        <w:widowControl/>
        <w:adjustRightInd w:val="0"/>
        <w:snapToGrid w:val="0"/>
        <w:rPr>
          <w:snapToGrid w:val="0"/>
          <w:lang w:val="da-DK"/>
        </w:rPr>
      </w:pPr>
    </w:p>
    <w:p w14:paraId="5133DAB5" w14:textId="77777777" w:rsidR="003563EF" w:rsidRPr="001278B6" w:rsidRDefault="00473235" w:rsidP="001278B6">
      <w:pPr>
        <w:pStyle w:val="a3"/>
        <w:widowControl/>
        <w:adjustRightInd w:val="0"/>
        <w:snapToGrid w:val="0"/>
        <w:rPr>
          <w:snapToGrid w:val="0"/>
          <w:lang w:val="da-DK"/>
        </w:rPr>
      </w:pPr>
      <w:r w:rsidRPr="001278B6">
        <w:rPr>
          <w:snapToGrid w:val="0"/>
          <w:lang w:val="da-DK"/>
        </w:rPr>
        <w:t>Bivirkninger, som er opsummeret i dette afsnit, er delt ind i følgende frekvenskategorier: Meget almindelig (≥ 1/10), almindelig (≥ 1/100 til &lt; 1/10), ikke almindelig (≥ 1/1.000 til &lt; 1/100), sjælden (≥</w:t>
      </w:r>
      <w:r w:rsidR="00A03FE9">
        <w:rPr>
          <w:snapToGrid w:val="0"/>
          <w:lang w:val="da-DK"/>
        </w:rPr>
        <w:t> </w:t>
      </w:r>
      <w:r w:rsidRPr="001278B6">
        <w:rPr>
          <w:snapToGrid w:val="0"/>
          <w:lang w:val="da-DK"/>
        </w:rPr>
        <w:t>1/10.000 til &lt; 1/1.000), meget sjælden (&lt; 1/10.000), ikke kendt (kan ikke estimeres ud fra tilgængelige data).</w:t>
      </w:r>
    </w:p>
    <w:p w14:paraId="4D5A26A6" w14:textId="77777777" w:rsidR="003563EF" w:rsidRPr="001278B6" w:rsidRDefault="003563EF" w:rsidP="001278B6">
      <w:pPr>
        <w:pStyle w:val="a3"/>
        <w:widowControl/>
        <w:adjustRightInd w:val="0"/>
        <w:snapToGrid w:val="0"/>
        <w:rPr>
          <w:snapToGrid w:val="0"/>
          <w:lang w:val="da-DK"/>
        </w:rPr>
      </w:pPr>
    </w:p>
    <w:p w14:paraId="1689806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Tabel 1 og 2 opsummerer de bivirkninger, som er associeret til brugen af </w:t>
      </w:r>
      <w:r w:rsidR="00C52D30">
        <w:rPr>
          <w:snapToGrid w:val="0"/>
          <w:lang w:val="da-DK"/>
        </w:rPr>
        <w:t>bevacizumab</w:t>
      </w:r>
      <w:r w:rsidRPr="001278B6">
        <w:rPr>
          <w:snapToGrid w:val="0"/>
          <w:lang w:val="da-DK"/>
        </w:rPr>
        <w:t xml:space="preserve"> i kombination med forskellige kemoterapiregimer til flere forskellige indikationer, i henhold til MedDRA</w:t>
      </w:r>
      <w:r w:rsidR="004B3750">
        <w:rPr>
          <w:snapToGrid w:val="0"/>
          <w:lang w:val="da-DK"/>
        </w:rPr>
        <w:noBreakHyphen/>
      </w:r>
      <w:r w:rsidRPr="001278B6">
        <w:rPr>
          <w:snapToGrid w:val="0"/>
          <w:lang w:val="da-DK"/>
        </w:rPr>
        <w:t>systemorganklasse.</w:t>
      </w:r>
    </w:p>
    <w:p w14:paraId="3410B26F" w14:textId="77777777" w:rsidR="0079124A" w:rsidRPr="001278B6" w:rsidRDefault="0079124A" w:rsidP="001278B6">
      <w:pPr>
        <w:widowControl/>
        <w:adjustRightInd w:val="0"/>
        <w:snapToGrid w:val="0"/>
        <w:rPr>
          <w:snapToGrid w:val="0"/>
          <w:lang w:val="da-DK"/>
        </w:rPr>
      </w:pPr>
    </w:p>
    <w:p w14:paraId="7F9A282F" w14:textId="205D199E" w:rsidR="003563EF" w:rsidRPr="001278B6" w:rsidRDefault="00473235" w:rsidP="001278B6">
      <w:pPr>
        <w:pStyle w:val="a3"/>
        <w:keepNext/>
        <w:keepLines/>
        <w:widowControl/>
        <w:adjustRightInd w:val="0"/>
        <w:snapToGrid w:val="0"/>
        <w:rPr>
          <w:snapToGrid w:val="0"/>
          <w:lang w:val="da-DK"/>
        </w:rPr>
      </w:pPr>
      <w:r w:rsidRPr="001278B6">
        <w:rPr>
          <w:snapToGrid w:val="0"/>
          <w:lang w:val="da-DK"/>
        </w:rPr>
        <w:t xml:space="preserve">Tabel 1 viser frekvensen af alle bivirkninger, hvor der er fastslået årsagssammenhæng med </w:t>
      </w:r>
      <w:r w:rsidR="00FE7FC1">
        <w:rPr>
          <w:snapToGrid w:val="0"/>
          <w:lang w:val="da-DK"/>
        </w:rPr>
        <w:t>bevacizumab</w:t>
      </w:r>
      <w:r w:rsidR="00FE7FC1" w:rsidRPr="001278B6">
        <w:rPr>
          <w:snapToGrid w:val="0"/>
          <w:lang w:val="da-DK"/>
        </w:rPr>
        <w:t xml:space="preserve"> </w:t>
      </w:r>
      <w:r w:rsidRPr="001278B6">
        <w:rPr>
          <w:snapToGrid w:val="0"/>
          <w:lang w:val="da-DK"/>
        </w:rPr>
        <w:t>gennem</w:t>
      </w:r>
    </w:p>
    <w:p w14:paraId="58048770" w14:textId="77777777" w:rsidR="003563EF" w:rsidRPr="001278B6" w:rsidRDefault="00473235" w:rsidP="001278B6">
      <w:pPr>
        <w:pStyle w:val="Bullet1"/>
        <w:widowControl/>
        <w:rPr>
          <w:lang w:val="da-DK"/>
        </w:rPr>
      </w:pPr>
      <w:r w:rsidRPr="001278B6">
        <w:rPr>
          <w:lang w:val="da-DK"/>
        </w:rPr>
        <w:t>komparativ incidens, som er konstateret mellem behandlingsarme i kliniske studier (med mindst 10</w:t>
      </w:r>
      <w:r w:rsidR="00A147DA">
        <w:rPr>
          <w:lang w:val="da-DK"/>
        </w:rPr>
        <w:t> </w:t>
      </w:r>
      <w:r w:rsidRPr="001278B6">
        <w:rPr>
          <w:lang w:val="da-DK"/>
        </w:rPr>
        <w:t>% forskel i forhold til kontrolarmen for NCI</w:t>
      </w:r>
      <w:r w:rsidR="004B3750">
        <w:rPr>
          <w:lang w:val="da-DK"/>
        </w:rPr>
        <w:noBreakHyphen/>
      </w:r>
      <w:r w:rsidRPr="001278B6">
        <w:rPr>
          <w:lang w:val="da-DK"/>
        </w:rPr>
        <w:t>CTCAE grad 1</w:t>
      </w:r>
      <w:r w:rsidR="004B3750">
        <w:rPr>
          <w:lang w:val="da-DK"/>
        </w:rPr>
        <w:noBreakHyphen/>
      </w:r>
      <w:r w:rsidRPr="001278B6">
        <w:rPr>
          <w:lang w:val="da-DK"/>
        </w:rPr>
        <w:t>5 bivirkninger eller med mindst 2</w:t>
      </w:r>
      <w:r w:rsidR="00A147DA">
        <w:rPr>
          <w:lang w:val="da-DK"/>
        </w:rPr>
        <w:t> </w:t>
      </w:r>
      <w:r w:rsidRPr="001278B6">
        <w:rPr>
          <w:lang w:val="da-DK"/>
        </w:rPr>
        <w:t>% forskel i forhold til kontrolarmen for NCI</w:t>
      </w:r>
      <w:r w:rsidR="004B3750">
        <w:rPr>
          <w:lang w:val="da-DK"/>
        </w:rPr>
        <w:noBreakHyphen/>
      </w:r>
      <w:r w:rsidRPr="001278B6">
        <w:rPr>
          <w:lang w:val="da-DK"/>
        </w:rPr>
        <w:t>CTCAE grad 3</w:t>
      </w:r>
      <w:r w:rsidR="004B3750">
        <w:rPr>
          <w:lang w:val="da-DK"/>
        </w:rPr>
        <w:noBreakHyphen/>
      </w:r>
      <w:r w:rsidRPr="001278B6">
        <w:rPr>
          <w:lang w:val="da-DK"/>
        </w:rPr>
        <w:t>5 bivirkninger),</w:t>
      </w:r>
    </w:p>
    <w:p w14:paraId="40CCB0F9" w14:textId="77777777" w:rsidR="003563EF" w:rsidRPr="001278B6" w:rsidRDefault="00473235" w:rsidP="001278B6">
      <w:pPr>
        <w:pStyle w:val="Bullet1"/>
        <w:widowControl/>
        <w:rPr>
          <w:lang w:val="da-DK"/>
        </w:rPr>
      </w:pPr>
      <w:r w:rsidRPr="001278B6">
        <w:rPr>
          <w:lang w:val="da-DK"/>
        </w:rPr>
        <w:t>sikkerhedsstudier efter markedsføringstilladelse,</w:t>
      </w:r>
    </w:p>
    <w:p w14:paraId="07AE1FC5" w14:textId="77777777" w:rsidR="003563EF" w:rsidRPr="001278B6" w:rsidRDefault="00473235" w:rsidP="001278B6">
      <w:pPr>
        <w:pStyle w:val="Bullet1"/>
        <w:widowControl/>
        <w:rPr>
          <w:lang w:val="da-DK"/>
        </w:rPr>
      </w:pPr>
      <w:r w:rsidRPr="001278B6">
        <w:rPr>
          <w:lang w:val="da-DK"/>
        </w:rPr>
        <w:t>spontane indberetninger,</w:t>
      </w:r>
    </w:p>
    <w:p w14:paraId="3E057DD7" w14:textId="77777777" w:rsidR="003563EF" w:rsidRPr="001278B6" w:rsidRDefault="00473235" w:rsidP="001278B6">
      <w:pPr>
        <w:pStyle w:val="Bullet1"/>
        <w:widowControl/>
        <w:rPr>
          <w:lang w:val="da-DK"/>
        </w:rPr>
      </w:pPr>
      <w:r w:rsidRPr="001278B6">
        <w:rPr>
          <w:lang w:val="da-DK"/>
        </w:rPr>
        <w:t>epidemiologiske studier/non</w:t>
      </w:r>
      <w:r w:rsidR="004B3750">
        <w:rPr>
          <w:lang w:val="da-DK"/>
        </w:rPr>
        <w:noBreakHyphen/>
      </w:r>
      <w:r w:rsidRPr="001278B6">
        <w:rPr>
          <w:lang w:val="da-DK"/>
        </w:rPr>
        <w:t>interventionsstudier eller observationsstudier,</w:t>
      </w:r>
    </w:p>
    <w:p w14:paraId="73B98090" w14:textId="77777777" w:rsidR="003563EF" w:rsidRPr="001278B6" w:rsidRDefault="00473235" w:rsidP="001278B6">
      <w:pPr>
        <w:pStyle w:val="Bullet1"/>
        <w:widowControl/>
        <w:rPr>
          <w:lang w:val="da-DK"/>
        </w:rPr>
      </w:pPr>
      <w:r w:rsidRPr="001278B6">
        <w:rPr>
          <w:lang w:val="da-DK"/>
        </w:rPr>
        <w:t>eller ved evaluering af individuelle rapporter.</w:t>
      </w:r>
    </w:p>
    <w:p w14:paraId="2E85FDE3" w14:textId="77777777" w:rsidR="003563EF" w:rsidRPr="001278B6" w:rsidRDefault="003563EF" w:rsidP="001278B6">
      <w:pPr>
        <w:pStyle w:val="a3"/>
        <w:widowControl/>
        <w:adjustRightInd w:val="0"/>
        <w:snapToGrid w:val="0"/>
        <w:rPr>
          <w:snapToGrid w:val="0"/>
          <w:lang w:val="da-DK"/>
        </w:rPr>
      </w:pPr>
    </w:p>
    <w:p w14:paraId="6569C4C1" w14:textId="77777777" w:rsidR="003563EF" w:rsidRPr="001278B6" w:rsidRDefault="00473235" w:rsidP="001278B6">
      <w:pPr>
        <w:pStyle w:val="a3"/>
        <w:widowControl/>
        <w:adjustRightInd w:val="0"/>
        <w:snapToGrid w:val="0"/>
        <w:rPr>
          <w:snapToGrid w:val="0"/>
          <w:lang w:val="da-DK"/>
        </w:rPr>
      </w:pPr>
      <w:r w:rsidRPr="001278B6">
        <w:rPr>
          <w:snapToGrid w:val="0"/>
          <w:lang w:val="da-DK"/>
        </w:rPr>
        <w:t>Tabel 2 viser frekvensen af alvorlige bivirkninger. Alvorlige bivirkninger defineres som bivirkninger med mindst 2</w:t>
      </w:r>
      <w:r w:rsidR="00A147DA">
        <w:rPr>
          <w:snapToGrid w:val="0"/>
          <w:lang w:val="da-DK"/>
        </w:rPr>
        <w:t> </w:t>
      </w:r>
      <w:r w:rsidRPr="001278B6">
        <w:rPr>
          <w:snapToGrid w:val="0"/>
          <w:lang w:val="da-DK"/>
        </w:rPr>
        <w:t>% forskel i forhold til kontrolarmen i kliniske studier for NCI</w:t>
      </w:r>
      <w:r w:rsidR="004B3750">
        <w:rPr>
          <w:snapToGrid w:val="0"/>
          <w:lang w:val="da-DK"/>
        </w:rPr>
        <w:noBreakHyphen/>
      </w:r>
      <w:r w:rsidRPr="001278B6">
        <w:rPr>
          <w:snapToGrid w:val="0"/>
          <w:lang w:val="da-DK"/>
        </w:rPr>
        <w:t>CTCAE grad 3</w:t>
      </w:r>
      <w:r w:rsidR="004B3750">
        <w:rPr>
          <w:snapToGrid w:val="0"/>
          <w:lang w:val="da-DK"/>
        </w:rPr>
        <w:noBreakHyphen/>
      </w:r>
      <w:r w:rsidRPr="001278B6">
        <w:rPr>
          <w:snapToGrid w:val="0"/>
          <w:lang w:val="da-DK"/>
        </w:rPr>
        <w:t>5 bivirkninger. Tabel 2 inkluderer også bivirkninger, som markedsføringsindehaver har vurderet som klinisk signifikante eller alvorlige.</w:t>
      </w:r>
    </w:p>
    <w:p w14:paraId="25AE1168" w14:textId="77777777" w:rsidR="003563EF" w:rsidRPr="001278B6" w:rsidRDefault="003563EF" w:rsidP="001278B6">
      <w:pPr>
        <w:pStyle w:val="a3"/>
        <w:widowControl/>
        <w:adjustRightInd w:val="0"/>
        <w:snapToGrid w:val="0"/>
        <w:rPr>
          <w:snapToGrid w:val="0"/>
          <w:lang w:val="da-DK"/>
        </w:rPr>
      </w:pPr>
    </w:p>
    <w:p w14:paraId="21DE8ED6" w14:textId="77777777" w:rsidR="003563EF" w:rsidRPr="001278B6" w:rsidRDefault="00473235" w:rsidP="001278B6">
      <w:pPr>
        <w:pStyle w:val="a3"/>
        <w:widowControl/>
        <w:adjustRightInd w:val="0"/>
        <w:snapToGrid w:val="0"/>
        <w:rPr>
          <w:snapToGrid w:val="0"/>
          <w:lang w:val="da-DK"/>
        </w:rPr>
      </w:pPr>
      <w:r w:rsidRPr="001278B6">
        <w:rPr>
          <w:snapToGrid w:val="0"/>
          <w:lang w:val="da-DK"/>
        </w:rPr>
        <w:t>Postmarketing</w:t>
      </w:r>
      <w:r w:rsidR="004B3750">
        <w:rPr>
          <w:snapToGrid w:val="0"/>
          <w:lang w:val="da-DK"/>
        </w:rPr>
        <w:noBreakHyphen/>
      </w:r>
      <w:r w:rsidRPr="001278B6">
        <w:rPr>
          <w:snapToGrid w:val="0"/>
          <w:lang w:val="da-DK"/>
        </w:rPr>
        <w:t>bivirkninger er inkluderet i både tabel 1 og 2, hvis relevant. Detaljeret information om disse postmarketing</w:t>
      </w:r>
      <w:r w:rsidR="004B3750">
        <w:rPr>
          <w:snapToGrid w:val="0"/>
          <w:lang w:val="da-DK"/>
        </w:rPr>
        <w:noBreakHyphen/>
      </w:r>
      <w:r w:rsidRPr="001278B6">
        <w:rPr>
          <w:snapToGrid w:val="0"/>
          <w:lang w:val="da-DK"/>
        </w:rPr>
        <w:t>bivirkninger er givet i tabel 3.</w:t>
      </w:r>
    </w:p>
    <w:p w14:paraId="721A693A" w14:textId="77777777" w:rsidR="003563EF" w:rsidRPr="001278B6" w:rsidRDefault="003563EF" w:rsidP="001278B6">
      <w:pPr>
        <w:pStyle w:val="a3"/>
        <w:widowControl/>
        <w:adjustRightInd w:val="0"/>
        <w:snapToGrid w:val="0"/>
        <w:rPr>
          <w:snapToGrid w:val="0"/>
          <w:lang w:val="da-DK"/>
        </w:rPr>
      </w:pPr>
    </w:p>
    <w:p w14:paraId="7A43CCD4" w14:textId="77777777" w:rsidR="003563EF" w:rsidRPr="001278B6" w:rsidRDefault="00473235" w:rsidP="001278B6">
      <w:pPr>
        <w:pStyle w:val="a3"/>
        <w:widowControl/>
        <w:adjustRightInd w:val="0"/>
        <w:snapToGrid w:val="0"/>
        <w:rPr>
          <w:snapToGrid w:val="0"/>
          <w:lang w:val="da-DK"/>
        </w:rPr>
      </w:pPr>
      <w:r w:rsidRPr="001278B6">
        <w:rPr>
          <w:snapToGrid w:val="0"/>
          <w:lang w:val="da-DK"/>
        </w:rPr>
        <w:t>I tabellerne er bivirkningerne anført under den relevante frekvenskategori i henhold til den højeste frekvens, som observeredes ved nogen indikation.</w:t>
      </w:r>
    </w:p>
    <w:p w14:paraId="1615DD79" w14:textId="4708DC90" w:rsidR="003563EF" w:rsidRPr="001278B6" w:rsidRDefault="00473235" w:rsidP="001278B6">
      <w:pPr>
        <w:pStyle w:val="a3"/>
        <w:widowControl/>
        <w:adjustRightInd w:val="0"/>
        <w:snapToGrid w:val="0"/>
        <w:rPr>
          <w:snapToGrid w:val="0"/>
          <w:lang w:val="da-DK"/>
        </w:rPr>
      </w:pPr>
      <w:r w:rsidRPr="001278B6">
        <w:rPr>
          <w:snapToGrid w:val="0"/>
          <w:lang w:val="da-DK"/>
        </w:rPr>
        <w:t xml:space="preserve">Inden for hver frekvensgruppe er bivirkningerne anført med de alvorligste først. Nogle af bivirkningerne er almindelige ved behandling med kemoterapi, men </w:t>
      </w:r>
      <w:r w:rsidR="00FE7FC1">
        <w:rPr>
          <w:snapToGrid w:val="0"/>
          <w:color w:val="1C1C1C"/>
          <w:lang w:val="da-DK"/>
        </w:rPr>
        <w:t xml:space="preserve">bevacizumab </w:t>
      </w:r>
      <w:r w:rsidRPr="001278B6">
        <w:rPr>
          <w:snapToGrid w:val="0"/>
          <w:color w:val="1C1C1C"/>
          <w:lang w:val="da-DK"/>
        </w:rPr>
        <w:t>kan forværre disse bivirkninger, når det gives i kombination med kemoterapi, f.eks. p</w:t>
      </w:r>
      <w:r w:rsidRPr="001278B6">
        <w:rPr>
          <w:snapToGrid w:val="0"/>
          <w:lang w:val="da-DK"/>
        </w:rPr>
        <w:t xml:space="preserve">almoplantar erytrodysæstesisyndrom </w:t>
      </w:r>
      <w:r w:rsidRPr="001278B6">
        <w:rPr>
          <w:snapToGrid w:val="0"/>
          <w:color w:val="1C1C1C"/>
          <w:lang w:val="da-DK"/>
        </w:rPr>
        <w:t xml:space="preserve">med </w:t>
      </w:r>
      <w:r w:rsidRPr="001278B6">
        <w:rPr>
          <w:snapToGrid w:val="0"/>
          <w:lang w:val="da-DK"/>
        </w:rPr>
        <w:t>pegyleret liposomal doxorubicin eller capecitabin, perifer sensorisk neuropati med paclitaxel eller oxaliplatin, negleproblemer og alopeci med paclitaxel og paronykie med erlotinib.</w:t>
      </w:r>
    </w:p>
    <w:p w14:paraId="5FDE398E" w14:textId="77777777" w:rsidR="003563EF" w:rsidRPr="001278B6" w:rsidRDefault="003563EF" w:rsidP="001278B6">
      <w:pPr>
        <w:pStyle w:val="a3"/>
        <w:widowControl/>
        <w:adjustRightInd w:val="0"/>
        <w:snapToGrid w:val="0"/>
        <w:rPr>
          <w:snapToGrid w:val="0"/>
          <w:lang w:val="da-DK"/>
        </w:rPr>
      </w:pPr>
    </w:p>
    <w:p w14:paraId="6B52EB2E" w14:textId="77777777" w:rsidR="003563EF" w:rsidRPr="00765991" w:rsidRDefault="00CA3C3C" w:rsidP="00765991">
      <w:pPr>
        <w:ind w:left="1134" w:hanging="1134"/>
        <w:rPr>
          <w:b/>
          <w:bCs/>
          <w:snapToGrid w:val="0"/>
          <w:lang w:val="da-DK"/>
        </w:rPr>
      </w:pPr>
      <w:r>
        <w:rPr>
          <w:snapToGrid w:val="0"/>
          <w:lang w:val="da-DK"/>
        </w:rPr>
        <w:br w:type="page"/>
      </w:r>
      <w:r w:rsidR="00473235" w:rsidRPr="00765991">
        <w:rPr>
          <w:b/>
          <w:bCs/>
          <w:snapToGrid w:val="0"/>
          <w:lang w:val="da-DK"/>
        </w:rPr>
        <w:lastRenderedPageBreak/>
        <w:t>Tabel 1.</w:t>
      </w:r>
      <w:r w:rsidR="00473235" w:rsidRPr="00765991">
        <w:rPr>
          <w:b/>
          <w:bCs/>
          <w:snapToGrid w:val="0"/>
          <w:lang w:val="da-DK"/>
        </w:rPr>
        <w:tab/>
        <w:t>Frekvenser for bivirkninger</w:t>
      </w:r>
    </w:p>
    <w:p w14:paraId="67152172" w14:textId="77777777" w:rsidR="003563EF" w:rsidRPr="001278B6" w:rsidRDefault="003563EF" w:rsidP="001278B6">
      <w:pPr>
        <w:pStyle w:val="a3"/>
        <w:widowControl/>
        <w:adjustRightInd w:val="0"/>
        <w:snapToGrid w:val="0"/>
        <w:rPr>
          <w:b/>
          <w:snapToGrid w:val="0"/>
          <w:lang w:val="da-DK"/>
        </w:rPr>
      </w:pPr>
    </w:p>
    <w:tbl>
      <w:tblPr>
        <w:tblW w:w="4905" w:type="pct"/>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9"/>
        <w:gridCol w:w="1269"/>
        <w:gridCol w:w="1269"/>
        <w:gridCol w:w="1269"/>
        <w:gridCol w:w="1269"/>
        <w:gridCol w:w="1269"/>
        <w:gridCol w:w="1270"/>
      </w:tblGrid>
      <w:tr w:rsidR="008E4C56" w:rsidRPr="005476B6" w14:paraId="2A3A6C41" w14:textId="77777777" w:rsidTr="00051658">
        <w:trPr>
          <w:cantSplit/>
          <w:tblHeader/>
        </w:trPr>
        <w:tc>
          <w:tcPr>
            <w:tcW w:w="1302" w:type="dxa"/>
            <w:tcBorders>
              <w:bottom w:val="single" w:sz="4" w:space="0" w:color="000000"/>
              <w:right w:val="single" w:sz="4" w:space="0" w:color="000000"/>
            </w:tcBorders>
            <w:vAlign w:val="center"/>
          </w:tcPr>
          <w:p w14:paraId="30B0F53F" w14:textId="77777777" w:rsidR="003563EF" w:rsidRPr="001278B6" w:rsidRDefault="00473235" w:rsidP="003C1C0B">
            <w:pPr>
              <w:pStyle w:val="TableParagraph"/>
              <w:widowControl/>
              <w:adjustRightInd w:val="0"/>
              <w:snapToGrid w:val="0"/>
              <w:rPr>
                <w:b/>
                <w:bCs/>
                <w:snapToGrid w:val="0"/>
                <w:sz w:val="20"/>
                <w:lang w:val="da-DK"/>
              </w:rPr>
            </w:pPr>
            <w:r w:rsidRPr="001278B6">
              <w:rPr>
                <w:b/>
                <w:bCs/>
                <w:snapToGrid w:val="0"/>
                <w:sz w:val="20"/>
                <w:lang w:val="da-DK"/>
              </w:rPr>
              <w:t>System</w:t>
            </w:r>
            <w:r w:rsidR="004B3750">
              <w:rPr>
                <w:b/>
                <w:bCs/>
                <w:snapToGrid w:val="0"/>
                <w:sz w:val="20"/>
                <w:lang w:val="da-DK"/>
              </w:rPr>
              <w:noBreakHyphen/>
            </w:r>
            <w:r w:rsidRPr="001278B6">
              <w:rPr>
                <w:b/>
                <w:bCs/>
                <w:snapToGrid w:val="0"/>
                <w:sz w:val="20"/>
                <w:lang w:val="da-DK"/>
              </w:rPr>
              <w:t>organklasse</w:t>
            </w:r>
          </w:p>
        </w:tc>
        <w:tc>
          <w:tcPr>
            <w:tcW w:w="1302" w:type="dxa"/>
            <w:tcBorders>
              <w:left w:val="single" w:sz="4" w:space="0" w:color="000000"/>
              <w:bottom w:val="single" w:sz="4" w:space="0" w:color="000000"/>
              <w:right w:val="single" w:sz="4" w:space="0" w:color="000000"/>
            </w:tcBorders>
            <w:vAlign w:val="center"/>
          </w:tcPr>
          <w:p w14:paraId="0FBD3BC5"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Meget almindelig</w:t>
            </w:r>
          </w:p>
        </w:tc>
        <w:tc>
          <w:tcPr>
            <w:tcW w:w="1302" w:type="dxa"/>
            <w:tcBorders>
              <w:left w:val="single" w:sz="4" w:space="0" w:color="000000"/>
              <w:bottom w:val="single" w:sz="4" w:space="0" w:color="000000"/>
              <w:right w:val="single" w:sz="4" w:space="0" w:color="000000"/>
            </w:tcBorders>
            <w:vAlign w:val="center"/>
          </w:tcPr>
          <w:p w14:paraId="69AAABC9"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Almindelig</w:t>
            </w:r>
          </w:p>
        </w:tc>
        <w:tc>
          <w:tcPr>
            <w:tcW w:w="1302" w:type="dxa"/>
            <w:tcBorders>
              <w:left w:val="single" w:sz="4" w:space="0" w:color="000000"/>
              <w:bottom w:val="single" w:sz="4" w:space="0" w:color="000000"/>
              <w:right w:val="single" w:sz="4" w:space="0" w:color="000000"/>
            </w:tcBorders>
            <w:vAlign w:val="center"/>
          </w:tcPr>
          <w:p w14:paraId="538D3933" w14:textId="08CFA03D"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Ikke</w:t>
            </w:r>
            <w:r w:rsidR="00635556">
              <w:rPr>
                <w:b/>
                <w:bCs/>
                <w:snapToGrid w:val="0"/>
                <w:sz w:val="20"/>
                <w:lang w:val="da-DK"/>
              </w:rPr>
              <w:t xml:space="preserve"> </w:t>
            </w:r>
            <w:r w:rsidRPr="001278B6">
              <w:rPr>
                <w:b/>
                <w:bCs/>
                <w:snapToGrid w:val="0"/>
                <w:sz w:val="20"/>
                <w:lang w:val="da-DK"/>
              </w:rPr>
              <w:t>almindelig</w:t>
            </w:r>
          </w:p>
        </w:tc>
        <w:tc>
          <w:tcPr>
            <w:tcW w:w="1302" w:type="dxa"/>
            <w:tcBorders>
              <w:left w:val="single" w:sz="4" w:space="0" w:color="000000"/>
              <w:bottom w:val="single" w:sz="4" w:space="0" w:color="000000"/>
              <w:right w:val="single" w:sz="4" w:space="0" w:color="000000"/>
            </w:tcBorders>
            <w:vAlign w:val="center"/>
          </w:tcPr>
          <w:p w14:paraId="6BD84B0B"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Sjælden</w:t>
            </w:r>
          </w:p>
        </w:tc>
        <w:tc>
          <w:tcPr>
            <w:tcW w:w="1302" w:type="dxa"/>
            <w:tcBorders>
              <w:left w:val="single" w:sz="4" w:space="0" w:color="000000"/>
              <w:bottom w:val="single" w:sz="4" w:space="0" w:color="000000"/>
              <w:right w:val="single" w:sz="4" w:space="0" w:color="000000"/>
            </w:tcBorders>
            <w:vAlign w:val="center"/>
          </w:tcPr>
          <w:p w14:paraId="63C3C5F4"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Meget sjælden</w:t>
            </w:r>
          </w:p>
        </w:tc>
        <w:tc>
          <w:tcPr>
            <w:tcW w:w="1303" w:type="dxa"/>
            <w:tcBorders>
              <w:left w:val="single" w:sz="4" w:space="0" w:color="000000"/>
              <w:bottom w:val="single" w:sz="4" w:space="0" w:color="000000"/>
            </w:tcBorders>
            <w:vAlign w:val="center"/>
          </w:tcPr>
          <w:p w14:paraId="688DFD47"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Hyppighed ikke kendt</w:t>
            </w:r>
          </w:p>
        </w:tc>
      </w:tr>
      <w:tr w:rsidR="008E4C56" w:rsidRPr="005476B6" w14:paraId="4871D171" w14:textId="77777777" w:rsidTr="00051658">
        <w:trPr>
          <w:cantSplit/>
        </w:trPr>
        <w:tc>
          <w:tcPr>
            <w:tcW w:w="1302" w:type="dxa"/>
            <w:tcBorders>
              <w:top w:val="single" w:sz="4" w:space="0" w:color="000000"/>
              <w:bottom w:val="single" w:sz="4" w:space="0" w:color="000000"/>
              <w:right w:val="single" w:sz="4" w:space="0" w:color="000000"/>
            </w:tcBorders>
          </w:tcPr>
          <w:p w14:paraId="1E57BCD4"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Infektioner og parasitære sygdomme</w:t>
            </w:r>
          </w:p>
        </w:tc>
        <w:tc>
          <w:tcPr>
            <w:tcW w:w="1302" w:type="dxa"/>
            <w:tcBorders>
              <w:top w:val="single" w:sz="4" w:space="0" w:color="000000"/>
              <w:left w:val="single" w:sz="4" w:space="0" w:color="000000"/>
              <w:bottom w:val="single" w:sz="4" w:space="0" w:color="000000"/>
              <w:right w:val="single" w:sz="4" w:space="0" w:color="000000"/>
            </w:tcBorders>
          </w:tcPr>
          <w:p w14:paraId="26F3C1DF"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70614BF8" w14:textId="3A024912" w:rsidR="00BC0810" w:rsidRPr="00051658" w:rsidRDefault="00473235" w:rsidP="00051658">
            <w:pPr>
              <w:pStyle w:val="TableParagraph"/>
              <w:widowControl/>
              <w:adjustRightInd w:val="0"/>
              <w:snapToGrid w:val="0"/>
              <w:rPr>
                <w:snapToGrid w:val="0"/>
                <w:sz w:val="20"/>
                <w:lang w:val="sv-SE"/>
              </w:rPr>
            </w:pPr>
            <w:r w:rsidRPr="00051658">
              <w:rPr>
                <w:snapToGrid w:val="0"/>
                <w:sz w:val="20"/>
                <w:lang w:val="sv-SE"/>
              </w:rPr>
              <w:t>Sepsis</w:t>
            </w:r>
            <w:r w:rsidR="00D92BDD">
              <w:rPr>
                <w:snapToGrid w:val="0"/>
                <w:sz w:val="20"/>
                <w:lang w:val="sv-SE"/>
              </w:rPr>
              <w:t xml:space="preserve">, </w:t>
            </w:r>
          </w:p>
          <w:p w14:paraId="5FAC5FA1" w14:textId="6D9ED16C" w:rsidR="00BC0810" w:rsidRPr="00051658" w:rsidRDefault="00D92BDD" w:rsidP="00051658">
            <w:pPr>
              <w:pStyle w:val="TableParagraph"/>
              <w:widowControl/>
              <w:adjustRightInd w:val="0"/>
              <w:snapToGrid w:val="0"/>
              <w:rPr>
                <w:snapToGrid w:val="0"/>
                <w:sz w:val="20"/>
                <w:lang w:val="sv-SE"/>
              </w:rPr>
            </w:pPr>
            <w:r>
              <w:rPr>
                <w:snapToGrid w:val="0"/>
                <w:sz w:val="20"/>
                <w:lang w:val="sv-SE"/>
              </w:rPr>
              <w:t>a</w:t>
            </w:r>
            <w:r w:rsidR="00473235" w:rsidRPr="00051658">
              <w:rPr>
                <w:snapToGrid w:val="0"/>
                <w:sz w:val="20"/>
                <w:lang w:val="sv-SE"/>
              </w:rPr>
              <w:t>bsces</w:t>
            </w:r>
            <w:r w:rsidR="00473235" w:rsidRPr="00051658">
              <w:rPr>
                <w:snapToGrid w:val="0"/>
                <w:sz w:val="20"/>
                <w:vertAlign w:val="superscript"/>
                <w:lang w:val="sv-SE"/>
              </w:rPr>
              <w:t>b,d</w:t>
            </w:r>
            <w:r>
              <w:rPr>
                <w:snapToGrid w:val="0"/>
                <w:sz w:val="20"/>
                <w:lang w:val="sv-SE"/>
              </w:rPr>
              <w:t>,</w:t>
            </w:r>
          </w:p>
          <w:p w14:paraId="72DD8B1D" w14:textId="00D50823" w:rsidR="00BC0810" w:rsidRPr="00051658" w:rsidRDefault="00D92BDD" w:rsidP="00051658">
            <w:pPr>
              <w:pStyle w:val="TableParagraph"/>
              <w:widowControl/>
              <w:adjustRightInd w:val="0"/>
              <w:snapToGrid w:val="0"/>
              <w:rPr>
                <w:snapToGrid w:val="0"/>
                <w:sz w:val="20"/>
                <w:lang w:val="sv-SE"/>
              </w:rPr>
            </w:pPr>
            <w:r>
              <w:rPr>
                <w:snapToGrid w:val="0"/>
                <w:sz w:val="20"/>
                <w:lang w:val="sv-SE"/>
              </w:rPr>
              <w:t>c</w:t>
            </w:r>
            <w:r w:rsidR="00473235" w:rsidRPr="00051658">
              <w:rPr>
                <w:snapToGrid w:val="0"/>
                <w:sz w:val="20"/>
                <w:lang w:val="sv-SE"/>
              </w:rPr>
              <w:t>ellulitis</w:t>
            </w:r>
            <w:r>
              <w:rPr>
                <w:snapToGrid w:val="0"/>
                <w:sz w:val="20"/>
                <w:lang w:val="sv-SE"/>
              </w:rPr>
              <w:t>,</w:t>
            </w:r>
            <w:r w:rsidR="00473235" w:rsidRPr="00051658">
              <w:rPr>
                <w:snapToGrid w:val="0"/>
                <w:sz w:val="20"/>
                <w:lang w:val="sv-SE"/>
              </w:rPr>
              <w:t xml:space="preserve"> </w:t>
            </w:r>
          </w:p>
          <w:p w14:paraId="382EB964" w14:textId="07A5C969" w:rsidR="00BC0810" w:rsidRPr="00051658" w:rsidRDefault="00D92BDD" w:rsidP="00051658">
            <w:pPr>
              <w:pStyle w:val="TableParagraph"/>
              <w:widowControl/>
              <w:adjustRightInd w:val="0"/>
              <w:snapToGrid w:val="0"/>
              <w:rPr>
                <w:snapToGrid w:val="0"/>
                <w:sz w:val="20"/>
                <w:lang w:val="sv-SE"/>
              </w:rPr>
            </w:pPr>
            <w:r>
              <w:rPr>
                <w:snapToGrid w:val="0"/>
                <w:sz w:val="20"/>
                <w:lang w:val="sv-SE"/>
              </w:rPr>
              <w:t>i</w:t>
            </w:r>
            <w:r w:rsidR="00473235" w:rsidRPr="00051658">
              <w:rPr>
                <w:snapToGrid w:val="0"/>
                <w:sz w:val="20"/>
                <w:lang w:val="sv-SE"/>
              </w:rPr>
              <w:t>nfektion</w:t>
            </w:r>
            <w:r>
              <w:rPr>
                <w:snapToGrid w:val="0"/>
                <w:sz w:val="20"/>
                <w:lang w:val="sv-SE"/>
              </w:rPr>
              <w:t>,</w:t>
            </w:r>
            <w:r w:rsidR="00473235" w:rsidRPr="00051658">
              <w:rPr>
                <w:snapToGrid w:val="0"/>
                <w:sz w:val="20"/>
                <w:lang w:val="sv-SE"/>
              </w:rPr>
              <w:t xml:space="preserve"> </w:t>
            </w:r>
          </w:p>
          <w:p w14:paraId="738B13DB" w14:textId="7E2C7870" w:rsidR="003563EF" w:rsidRPr="00051658" w:rsidRDefault="00D92BDD" w:rsidP="00051658">
            <w:pPr>
              <w:pStyle w:val="TableParagraph"/>
              <w:widowControl/>
              <w:adjustRightInd w:val="0"/>
              <w:snapToGrid w:val="0"/>
              <w:rPr>
                <w:snapToGrid w:val="0"/>
                <w:sz w:val="20"/>
                <w:lang w:val="sv-SE"/>
              </w:rPr>
            </w:pPr>
            <w:r>
              <w:rPr>
                <w:snapToGrid w:val="0"/>
                <w:sz w:val="20"/>
                <w:lang w:val="sv-SE"/>
              </w:rPr>
              <w:t>u</w:t>
            </w:r>
            <w:r w:rsidR="00473235" w:rsidRPr="00051658">
              <w:rPr>
                <w:snapToGrid w:val="0"/>
                <w:sz w:val="20"/>
                <w:lang w:val="sv-SE"/>
              </w:rPr>
              <w:t>rinvejs</w:t>
            </w:r>
            <w:r w:rsidR="004B3750">
              <w:rPr>
                <w:snapToGrid w:val="0"/>
                <w:sz w:val="20"/>
                <w:lang w:val="sv-SE"/>
              </w:rPr>
              <w:noBreakHyphen/>
            </w:r>
            <w:r w:rsidR="00473235" w:rsidRPr="00051658">
              <w:rPr>
                <w:snapToGrid w:val="0"/>
                <w:sz w:val="20"/>
                <w:lang w:val="sv-SE"/>
              </w:rPr>
              <w:t>infektion</w:t>
            </w:r>
          </w:p>
        </w:tc>
        <w:tc>
          <w:tcPr>
            <w:tcW w:w="1302" w:type="dxa"/>
            <w:tcBorders>
              <w:top w:val="single" w:sz="4" w:space="0" w:color="000000"/>
              <w:left w:val="single" w:sz="4" w:space="0" w:color="000000"/>
              <w:bottom w:val="single" w:sz="4" w:space="0" w:color="000000"/>
              <w:right w:val="single" w:sz="4" w:space="0" w:color="000000"/>
            </w:tcBorders>
          </w:tcPr>
          <w:p w14:paraId="3985B34B" w14:textId="77777777" w:rsidR="003563EF" w:rsidRPr="00051658" w:rsidRDefault="003563EF" w:rsidP="003C1C0B">
            <w:pPr>
              <w:pStyle w:val="TableParagraph"/>
              <w:widowControl/>
              <w:adjustRightInd w:val="0"/>
              <w:snapToGrid w:val="0"/>
              <w:rPr>
                <w:snapToGrid w:val="0"/>
                <w:sz w:val="20"/>
                <w:lang w:val="sv-SE"/>
              </w:rPr>
            </w:pPr>
          </w:p>
        </w:tc>
        <w:tc>
          <w:tcPr>
            <w:tcW w:w="1302" w:type="dxa"/>
            <w:tcBorders>
              <w:top w:val="single" w:sz="4" w:space="0" w:color="000000"/>
              <w:left w:val="single" w:sz="4" w:space="0" w:color="000000"/>
              <w:bottom w:val="single" w:sz="4" w:space="0" w:color="000000"/>
              <w:right w:val="single" w:sz="4" w:space="0" w:color="000000"/>
            </w:tcBorders>
          </w:tcPr>
          <w:p w14:paraId="593C0C1A"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Nekroti</w:t>
            </w:r>
            <w:r w:rsidR="004B3750">
              <w:rPr>
                <w:snapToGrid w:val="0"/>
                <w:sz w:val="20"/>
                <w:lang w:val="da-DK"/>
              </w:rPr>
              <w:noBreakHyphen/>
            </w:r>
            <w:r w:rsidRPr="001278B6">
              <w:rPr>
                <w:snapToGrid w:val="0"/>
                <w:sz w:val="20"/>
                <w:lang w:val="da-DK"/>
              </w:rPr>
              <w:t>serende fasciitis</w:t>
            </w:r>
            <w:r w:rsidRPr="001278B6">
              <w:rPr>
                <w:snapToGrid w:val="0"/>
                <w:sz w:val="20"/>
                <w:vertAlign w:val="superscript"/>
                <w:lang w:val="da-DK"/>
              </w:rPr>
              <w:t>a</w:t>
            </w:r>
          </w:p>
        </w:tc>
        <w:tc>
          <w:tcPr>
            <w:tcW w:w="1302" w:type="dxa"/>
            <w:tcBorders>
              <w:top w:val="single" w:sz="4" w:space="0" w:color="000000"/>
              <w:left w:val="single" w:sz="4" w:space="0" w:color="000000"/>
              <w:bottom w:val="single" w:sz="4" w:space="0" w:color="000000"/>
              <w:right w:val="single" w:sz="4" w:space="0" w:color="000000"/>
            </w:tcBorders>
          </w:tcPr>
          <w:p w14:paraId="6FA922B3"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46A52463"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64CAF163" w14:textId="77777777" w:rsidTr="00051658">
        <w:trPr>
          <w:cantSplit/>
        </w:trPr>
        <w:tc>
          <w:tcPr>
            <w:tcW w:w="1302" w:type="dxa"/>
            <w:tcBorders>
              <w:top w:val="single" w:sz="4" w:space="0" w:color="000000"/>
              <w:left w:val="single" w:sz="4" w:space="0" w:color="000000"/>
              <w:bottom w:val="single" w:sz="4" w:space="0" w:color="000000"/>
              <w:right w:val="single" w:sz="4" w:space="0" w:color="000000"/>
            </w:tcBorders>
          </w:tcPr>
          <w:p w14:paraId="517CAFF8"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Blod og lymfe</w:t>
            </w:r>
            <w:r w:rsidR="004B3750">
              <w:rPr>
                <w:snapToGrid w:val="0"/>
                <w:sz w:val="20"/>
                <w:lang w:val="da-DK"/>
              </w:rPr>
              <w:noBreakHyphen/>
            </w:r>
            <w:r w:rsidRPr="001278B6">
              <w:rPr>
                <w:snapToGrid w:val="0"/>
                <w:sz w:val="20"/>
                <w:lang w:val="da-DK"/>
              </w:rPr>
              <w:t>system</w:t>
            </w:r>
          </w:p>
        </w:tc>
        <w:tc>
          <w:tcPr>
            <w:tcW w:w="1302" w:type="dxa"/>
            <w:tcBorders>
              <w:top w:val="single" w:sz="4" w:space="0" w:color="000000"/>
              <w:left w:val="single" w:sz="4" w:space="0" w:color="000000"/>
              <w:bottom w:val="single" w:sz="4" w:space="0" w:color="000000"/>
              <w:right w:val="single" w:sz="4" w:space="0" w:color="000000"/>
            </w:tcBorders>
          </w:tcPr>
          <w:p w14:paraId="3777A7B8" w14:textId="0B156E58" w:rsidR="00BC0810" w:rsidRPr="00051658" w:rsidRDefault="00473235" w:rsidP="00051658">
            <w:pPr>
              <w:pStyle w:val="TableParagraph"/>
              <w:widowControl/>
              <w:adjustRightInd w:val="0"/>
              <w:snapToGrid w:val="0"/>
              <w:rPr>
                <w:snapToGrid w:val="0"/>
                <w:sz w:val="20"/>
              </w:rPr>
            </w:pPr>
            <w:proofErr w:type="spellStart"/>
            <w:r w:rsidRPr="00051658">
              <w:rPr>
                <w:snapToGrid w:val="0"/>
                <w:sz w:val="20"/>
              </w:rPr>
              <w:t>Febril</w:t>
            </w:r>
            <w:proofErr w:type="spellEnd"/>
            <w:r w:rsidRPr="00051658">
              <w:rPr>
                <w:snapToGrid w:val="0"/>
                <w:sz w:val="20"/>
              </w:rPr>
              <w:t xml:space="preserve"> </w:t>
            </w:r>
            <w:proofErr w:type="spellStart"/>
            <w:r w:rsidRPr="00051658">
              <w:rPr>
                <w:snapToGrid w:val="0"/>
                <w:sz w:val="20"/>
              </w:rPr>
              <w:t>neutropeni</w:t>
            </w:r>
            <w:proofErr w:type="spellEnd"/>
            <w:r w:rsidR="00D92BDD">
              <w:rPr>
                <w:snapToGrid w:val="0"/>
                <w:sz w:val="20"/>
              </w:rPr>
              <w:t>,</w:t>
            </w:r>
          </w:p>
          <w:p w14:paraId="046A0388" w14:textId="5036D566" w:rsidR="00BC0810" w:rsidRPr="00051658" w:rsidRDefault="00D92BDD" w:rsidP="00051658">
            <w:pPr>
              <w:pStyle w:val="TableParagraph"/>
              <w:widowControl/>
              <w:adjustRightInd w:val="0"/>
              <w:snapToGrid w:val="0"/>
              <w:rPr>
                <w:snapToGrid w:val="0"/>
                <w:sz w:val="20"/>
              </w:rPr>
            </w:pPr>
            <w:proofErr w:type="spellStart"/>
            <w:r>
              <w:rPr>
                <w:snapToGrid w:val="0"/>
                <w:sz w:val="20"/>
              </w:rPr>
              <w:t>l</w:t>
            </w:r>
            <w:r w:rsidR="00473235" w:rsidRPr="00051658">
              <w:rPr>
                <w:snapToGrid w:val="0"/>
                <w:sz w:val="20"/>
              </w:rPr>
              <w:t>eukopeni</w:t>
            </w:r>
            <w:proofErr w:type="spellEnd"/>
            <w:r>
              <w:rPr>
                <w:snapToGrid w:val="0"/>
                <w:sz w:val="20"/>
              </w:rPr>
              <w:t>,</w:t>
            </w:r>
            <w:r w:rsidR="00473235" w:rsidRPr="00051658">
              <w:rPr>
                <w:snapToGrid w:val="0"/>
                <w:sz w:val="20"/>
              </w:rPr>
              <w:t xml:space="preserve"> </w:t>
            </w:r>
          </w:p>
          <w:p w14:paraId="72162908" w14:textId="02A21B4A" w:rsidR="00BC0810" w:rsidRPr="00051658" w:rsidRDefault="00D92BDD" w:rsidP="00051658">
            <w:pPr>
              <w:pStyle w:val="TableParagraph"/>
              <w:widowControl/>
              <w:adjustRightInd w:val="0"/>
              <w:snapToGrid w:val="0"/>
              <w:rPr>
                <w:snapToGrid w:val="0"/>
                <w:sz w:val="20"/>
              </w:rPr>
            </w:pPr>
            <w:proofErr w:type="spellStart"/>
            <w:r>
              <w:rPr>
                <w:snapToGrid w:val="0"/>
                <w:sz w:val="20"/>
              </w:rPr>
              <w:t>n</w:t>
            </w:r>
            <w:r w:rsidR="00473235" w:rsidRPr="00051658">
              <w:rPr>
                <w:snapToGrid w:val="0"/>
                <w:sz w:val="20"/>
              </w:rPr>
              <w:t>eutropeni</w:t>
            </w:r>
            <w:r w:rsidR="00473235" w:rsidRPr="00051658">
              <w:rPr>
                <w:snapToGrid w:val="0"/>
                <w:sz w:val="20"/>
                <w:vertAlign w:val="superscript"/>
              </w:rPr>
              <w:t>b</w:t>
            </w:r>
            <w:proofErr w:type="spellEnd"/>
            <w:r>
              <w:rPr>
                <w:snapToGrid w:val="0"/>
                <w:sz w:val="20"/>
              </w:rPr>
              <w:t>,</w:t>
            </w:r>
          </w:p>
          <w:p w14:paraId="573113B0" w14:textId="1FFD9FE1" w:rsidR="003563EF" w:rsidRPr="00051658" w:rsidRDefault="00D92BDD" w:rsidP="00051658">
            <w:pPr>
              <w:pStyle w:val="TableParagraph"/>
              <w:widowControl/>
              <w:adjustRightInd w:val="0"/>
              <w:snapToGrid w:val="0"/>
              <w:rPr>
                <w:snapToGrid w:val="0"/>
                <w:sz w:val="20"/>
              </w:rPr>
            </w:pPr>
            <w:proofErr w:type="spellStart"/>
            <w:r>
              <w:rPr>
                <w:snapToGrid w:val="0"/>
                <w:sz w:val="20"/>
              </w:rPr>
              <w:t>t</w:t>
            </w:r>
            <w:r w:rsidR="00473235" w:rsidRPr="00051658">
              <w:rPr>
                <w:snapToGrid w:val="0"/>
                <w:sz w:val="20"/>
              </w:rPr>
              <w:t>rombo</w:t>
            </w:r>
            <w:r w:rsidR="004B3750">
              <w:rPr>
                <w:snapToGrid w:val="0"/>
                <w:sz w:val="20"/>
              </w:rPr>
              <w:noBreakHyphen/>
            </w:r>
            <w:r w:rsidR="00473235" w:rsidRPr="00051658">
              <w:rPr>
                <w:snapToGrid w:val="0"/>
                <w:sz w:val="20"/>
              </w:rPr>
              <w:t>cytopeni</w:t>
            </w:r>
            <w:proofErr w:type="spellEnd"/>
          </w:p>
        </w:tc>
        <w:tc>
          <w:tcPr>
            <w:tcW w:w="1302" w:type="dxa"/>
            <w:tcBorders>
              <w:top w:val="single" w:sz="4" w:space="0" w:color="000000"/>
              <w:left w:val="single" w:sz="4" w:space="0" w:color="000000"/>
              <w:bottom w:val="single" w:sz="4" w:space="0" w:color="000000"/>
              <w:right w:val="single" w:sz="4" w:space="0" w:color="000000"/>
            </w:tcBorders>
          </w:tcPr>
          <w:p w14:paraId="10CD237A" w14:textId="77777777" w:rsidR="004E3130" w:rsidRDefault="00473235" w:rsidP="00051658">
            <w:pPr>
              <w:pStyle w:val="TableParagraph"/>
              <w:widowControl/>
              <w:adjustRightInd w:val="0"/>
              <w:snapToGrid w:val="0"/>
              <w:rPr>
                <w:snapToGrid w:val="0"/>
                <w:sz w:val="20"/>
                <w:lang w:val="da-DK"/>
              </w:rPr>
            </w:pPr>
            <w:r w:rsidRPr="001278B6">
              <w:rPr>
                <w:snapToGrid w:val="0"/>
                <w:sz w:val="20"/>
                <w:lang w:val="da-DK"/>
              </w:rPr>
              <w:t>Anæmi</w:t>
            </w:r>
            <w:r w:rsidR="00D92BDD">
              <w:rPr>
                <w:snapToGrid w:val="0"/>
                <w:sz w:val="20"/>
                <w:lang w:val="da-DK"/>
              </w:rPr>
              <w:t>,</w:t>
            </w:r>
          </w:p>
          <w:p w14:paraId="28D6BF50" w14:textId="5FEB44D8" w:rsidR="003563EF" w:rsidRPr="001278B6" w:rsidRDefault="00D92BDD" w:rsidP="00051658">
            <w:pPr>
              <w:pStyle w:val="TableParagraph"/>
              <w:widowControl/>
              <w:adjustRightInd w:val="0"/>
              <w:snapToGrid w:val="0"/>
              <w:rPr>
                <w:snapToGrid w:val="0"/>
                <w:sz w:val="20"/>
                <w:lang w:val="da-DK"/>
              </w:rPr>
            </w:pPr>
            <w:r>
              <w:rPr>
                <w:snapToGrid w:val="0"/>
                <w:sz w:val="20"/>
                <w:lang w:val="da-DK"/>
              </w:rPr>
              <w:t>l</w:t>
            </w:r>
            <w:r w:rsidR="00473235" w:rsidRPr="001278B6">
              <w:rPr>
                <w:snapToGrid w:val="0"/>
                <w:sz w:val="20"/>
                <w:lang w:val="da-DK"/>
              </w:rPr>
              <w:t>ymfopeni</w:t>
            </w:r>
          </w:p>
        </w:tc>
        <w:tc>
          <w:tcPr>
            <w:tcW w:w="1302" w:type="dxa"/>
            <w:tcBorders>
              <w:top w:val="single" w:sz="4" w:space="0" w:color="000000"/>
              <w:left w:val="single" w:sz="4" w:space="0" w:color="000000"/>
              <w:bottom w:val="single" w:sz="4" w:space="0" w:color="000000"/>
              <w:right w:val="single" w:sz="4" w:space="0" w:color="000000"/>
            </w:tcBorders>
          </w:tcPr>
          <w:p w14:paraId="5176182F"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3A8A9EC9"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72FA6B72"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0BF8D9DF" w14:textId="77777777" w:rsidR="003563EF" w:rsidRPr="001278B6" w:rsidRDefault="003563EF" w:rsidP="003C1C0B">
            <w:pPr>
              <w:pStyle w:val="TableParagraph"/>
              <w:widowControl/>
              <w:adjustRightInd w:val="0"/>
              <w:snapToGrid w:val="0"/>
              <w:rPr>
                <w:snapToGrid w:val="0"/>
                <w:sz w:val="20"/>
                <w:lang w:val="da-DK"/>
              </w:rPr>
            </w:pPr>
          </w:p>
        </w:tc>
      </w:tr>
      <w:tr w:rsidR="008E4C56" w:rsidRPr="00822465" w14:paraId="62DE1366" w14:textId="77777777" w:rsidTr="00051658">
        <w:trPr>
          <w:cantSplit/>
        </w:trPr>
        <w:tc>
          <w:tcPr>
            <w:tcW w:w="1302" w:type="dxa"/>
            <w:tcBorders>
              <w:top w:val="single" w:sz="4" w:space="0" w:color="000000"/>
              <w:left w:val="single" w:sz="4" w:space="0" w:color="000000"/>
              <w:bottom w:val="single" w:sz="4" w:space="0" w:color="000000"/>
              <w:right w:val="single" w:sz="4" w:space="0" w:color="000000"/>
            </w:tcBorders>
          </w:tcPr>
          <w:p w14:paraId="589B57B4"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Immun</w:t>
            </w:r>
            <w:r w:rsidR="004B3750">
              <w:rPr>
                <w:snapToGrid w:val="0"/>
                <w:sz w:val="20"/>
                <w:lang w:val="da-DK"/>
              </w:rPr>
              <w:noBreakHyphen/>
            </w:r>
            <w:r w:rsidRPr="001278B6">
              <w:rPr>
                <w:snapToGrid w:val="0"/>
                <w:sz w:val="20"/>
                <w:lang w:val="da-DK"/>
              </w:rPr>
              <w:t>systemet</w:t>
            </w:r>
          </w:p>
        </w:tc>
        <w:tc>
          <w:tcPr>
            <w:tcW w:w="1302" w:type="dxa"/>
            <w:tcBorders>
              <w:top w:val="single" w:sz="4" w:space="0" w:color="000000"/>
              <w:left w:val="single" w:sz="4" w:space="0" w:color="000000"/>
              <w:bottom w:val="single" w:sz="4" w:space="0" w:color="000000"/>
              <w:right w:val="single" w:sz="4" w:space="0" w:color="000000"/>
            </w:tcBorders>
          </w:tcPr>
          <w:p w14:paraId="5A806E14"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0C0BDF5E" w14:textId="5FBCF599" w:rsidR="00BC0810" w:rsidRDefault="00473235" w:rsidP="00051658">
            <w:pPr>
              <w:pStyle w:val="TableParagraph"/>
              <w:widowControl/>
              <w:adjustRightInd w:val="0"/>
              <w:snapToGrid w:val="0"/>
              <w:rPr>
                <w:snapToGrid w:val="0"/>
                <w:sz w:val="20"/>
                <w:lang w:val="da-DK"/>
              </w:rPr>
            </w:pPr>
            <w:r w:rsidRPr="001278B6">
              <w:rPr>
                <w:snapToGrid w:val="0"/>
                <w:sz w:val="20"/>
                <w:lang w:val="da-DK"/>
              </w:rPr>
              <w:t>Overfølsom</w:t>
            </w:r>
            <w:r w:rsidR="004B3750">
              <w:rPr>
                <w:snapToGrid w:val="0"/>
                <w:sz w:val="20"/>
                <w:lang w:val="da-DK"/>
              </w:rPr>
              <w:noBreakHyphen/>
            </w:r>
            <w:r w:rsidRPr="001278B6">
              <w:rPr>
                <w:snapToGrid w:val="0"/>
                <w:sz w:val="20"/>
                <w:lang w:val="da-DK"/>
              </w:rPr>
              <w:t>hed</w:t>
            </w:r>
            <w:r w:rsidR="00D92BDD">
              <w:rPr>
                <w:snapToGrid w:val="0"/>
                <w:sz w:val="20"/>
                <w:lang w:val="da-DK"/>
              </w:rPr>
              <w:t>,</w:t>
            </w:r>
          </w:p>
          <w:p w14:paraId="3E84D46B" w14:textId="6F26D455" w:rsidR="003563EF" w:rsidRPr="001278B6" w:rsidRDefault="00D92BDD"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nfusions</w:t>
            </w:r>
            <w:r w:rsidR="004B3750">
              <w:rPr>
                <w:snapToGrid w:val="0"/>
                <w:sz w:val="20"/>
                <w:lang w:val="da-DK"/>
              </w:rPr>
              <w:noBreakHyphen/>
            </w:r>
            <w:r w:rsidR="00473235" w:rsidRPr="001278B6">
              <w:rPr>
                <w:snapToGrid w:val="0"/>
                <w:sz w:val="20"/>
                <w:lang w:val="da-DK"/>
              </w:rPr>
              <w:t>reaktioner</w:t>
            </w:r>
            <w:r w:rsidR="00473235" w:rsidRPr="001278B6">
              <w:rPr>
                <w:snapToGrid w:val="0"/>
                <w:sz w:val="20"/>
                <w:vertAlign w:val="superscript"/>
                <w:lang w:val="da-DK"/>
              </w:rPr>
              <w:t>a,b,d</w:t>
            </w:r>
          </w:p>
        </w:tc>
        <w:tc>
          <w:tcPr>
            <w:tcW w:w="1302" w:type="dxa"/>
            <w:tcBorders>
              <w:top w:val="single" w:sz="4" w:space="0" w:color="000000"/>
              <w:left w:val="single" w:sz="4" w:space="0" w:color="000000"/>
              <w:bottom w:val="single" w:sz="4" w:space="0" w:color="000000"/>
              <w:right w:val="single" w:sz="4" w:space="0" w:color="000000"/>
            </w:tcBorders>
          </w:tcPr>
          <w:p w14:paraId="08D5DA5A"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0F265B22" w14:textId="51F6E57F" w:rsidR="003563EF" w:rsidRPr="001278B6" w:rsidRDefault="00667130" w:rsidP="00667130">
            <w:pPr>
              <w:pStyle w:val="TableParagraph"/>
              <w:widowControl/>
              <w:adjustRightInd w:val="0"/>
              <w:snapToGrid w:val="0"/>
              <w:rPr>
                <w:snapToGrid w:val="0"/>
                <w:sz w:val="20"/>
                <w:lang w:val="da-DK"/>
              </w:rPr>
            </w:pPr>
            <w:r w:rsidRPr="00667130">
              <w:rPr>
                <w:snapToGrid w:val="0"/>
                <w:sz w:val="20"/>
                <w:lang w:val="da-DK"/>
              </w:rPr>
              <w:t>Anafylaktiskshock</w:t>
            </w:r>
          </w:p>
        </w:tc>
        <w:tc>
          <w:tcPr>
            <w:tcW w:w="1302" w:type="dxa"/>
            <w:tcBorders>
              <w:top w:val="single" w:sz="4" w:space="0" w:color="000000"/>
              <w:left w:val="single" w:sz="4" w:space="0" w:color="000000"/>
              <w:bottom w:val="single" w:sz="4" w:space="0" w:color="000000"/>
              <w:right w:val="single" w:sz="4" w:space="0" w:color="000000"/>
            </w:tcBorders>
          </w:tcPr>
          <w:p w14:paraId="4D82CFD0"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2E6B3BB3"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46937AC9" w14:textId="77777777" w:rsidTr="00051658">
        <w:trPr>
          <w:cantSplit/>
        </w:trPr>
        <w:tc>
          <w:tcPr>
            <w:tcW w:w="1302" w:type="dxa"/>
            <w:tcBorders>
              <w:top w:val="single" w:sz="4" w:space="0" w:color="000000"/>
              <w:left w:val="single" w:sz="4" w:space="0" w:color="000000"/>
              <w:bottom w:val="single" w:sz="4" w:space="0" w:color="000000"/>
              <w:right w:val="single" w:sz="4" w:space="0" w:color="000000"/>
            </w:tcBorders>
          </w:tcPr>
          <w:p w14:paraId="7C9B13EE"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Meta</w:t>
            </w:r>
            <w:r w:rsidR="004B3750">
              <w:rPr>
                <w:snapToGrid w:val="0"/>
                <w:sz w:val="20"/>
                <w:lang w:val="da-DK"/>
              </w:rPr>
              <w:noBreakHyphen/>
            </w:r>
            <w:r w:rsidRPr="001278B6">
              <w:rPr>
                <w:snapToGrid w:val="0"/>
                <w:sz w:val="20"/>
                <w:lang w:val="da-DK"/>
              </w:rPr>
              <w:t>bolisme og ernæring</w:t>
            </w:r>
          </w:p>
        </w:tc>
        <w:tc>
          <w:tcPr>
            <w:tcW w:w="1302" w:type="dxa"/>
            <w:tcBorders>
              <w:top w:val="single" w:sz="4" w:space="0" w:color="000000"/>
              <w:left w:val="single" w:sz="4" w:space="0" w:color="000000"/>
              <w:bottom w:val="single" w:sz="4" w:space="0" w:color="000000"/>
              <w:right w:val="single" w:sz="4" w:space="0" w:color="000000"/>
            </w:tcBorders>
          </w:tcPr>
          <w:p w14:paraId="64589688" w14:textId="3FACB458" w:rsidR="00BC0810" w:rsidRDefault="00473235" w:rsidP="00051658">
            <w:pPr>
              <w:pStyle w:val="TableParagraph"/>
              <w:widowControl/>
              <w:adjustRightInd w:val="0"/>
              <w:snapToGrid w:val="0"/>
              <w:rPr>
                <w:snapToGrid w:val="0"/>
                <w:sz w:val="20"/>
                <w:lang w:val="da-DK"/>
              </w:rPr>
            </w:pPr>
            <w:r w:rsidRPr="001278B6">
              <w:rPr>
                <w:snapToGrid w:val="0"/>
                <w:sz w:val="20"/>
                <w:lang w:val="da-DK"/>
              </w:rPr>
              <w:t>Anoreksi</w:t>
            </w:r>
            <w:r w:rsidR="00D92BDD">
              <w:rPr>
                <w:snapToGrid w:val="0"/>
                <w:sz w:val="20"/>
                <w:lang w:val="da-DK"/>
              </w:rPr>
              <w:t>,</w:t>
            </w:r>
          </w:p>
          <w:p w14:paraId="3593D006" w14:textId="1BF035D3" w:rsidR="003563EF" w:rsidRPr="001278B6" w:rsidRDefault="00D92BDD" w:rsidP="00051658">
            <w:pPr>
              <w:pStyle w:val="TableParagraph"/>
              <w:widowControl/>
              <w:adjustRightInd w:val="0"/>
              <w:snapToGrid w:val="0"/>
              <w:rPr>
                <w:snapToGrid w:val="0"/>
                <w:sz w:val="20"/>
                <w:lang w:val="da-DK"/>
              </w:rPr>
            </w:pPr>
            <w:r>
              <w:rPr>
                <w:snapToGrid w:val="0"/>
                <w:sz w:val="20"/>
                <w:lang w:val="da-DK"/>
              </w:rPr>
              <w:t>h</w:t>
            </w:r>
            <w:r w:rsidR="00473235" w:rsidRPr="001278B6">
              <w:rPr>
                <w:snapToGrid w:val="0"/>
                <w:sz w:val="20"/>
                <w:lang w:val="da-DK"/>
              </w:rPr>
              <w:t>ypo</w:t>
            </w:r>
            <w:r w:rsidR="004B3750">
              <w:rPr>
                <w:snapToGrid w:val="0"/>
                <w:sz w:val="20"/>
                <w:lang w:val="da-DK"/>
              </w:rPr>
              <w:noBreakHyphen/>
            </w:r>
            <w:r w:rsidR="00473235" w:rsidRPr="001278B6">
              <w:rPr>
                <w:snapToGrid w:val="0"/>
                <w:sz w:val="20"/>
                <w:lang w:val="da-DK"/>
              </w:rPr>
              <w:t>magnesiæmi</w:t>
            </w:r>
            <w:r>
              <w:rPr>
                <w:snapToGrid w:val="0"/>
                <w:sz w:val="20"/>
                <w:lang w:val="da-DK"/>
              </w:rPr>
              <w:t>,</w:t>
            </w:r>
            <w:r w:rsidR="00473235" w:rsidRPr="001278B6">
              <w:rPr>
                <w:snapToGrid w:val="0"/>
                <w:sz w:val="20"/>
                <w:lang w:val="da-DK"/>
              </w:rPr>
              <w:t xml:space="preserve"> </w:t>
            </w:r>
            <w:r>
              <w:rPr>
                <w:snapToGrid w:val="0"/>
                <w:sz w:val="20"/>
                <w:lang w:val="da-DK"/>
              </w:rPr>
              <w:t>h</w:t>
            </w:r>
            <w:r w:rsidR="00473235" w:rsidRPr="001278B6">
              <w:rPr>
                <w:snapToGrid w:val="0"/>
                <w:sz w:val="20"/>
                <w:lang w:val="da-DK"/>
              </w:rPr>
              <w:t>yponatriæmi</w:t>
            </w:r>
          </w:p>
        </w:tc>
        <w:tc>
          <w:tcPr>
            <w:tcW w:w="1302" w:type="dxa"/>
            <w:tcBorders>
              <w:top w:val="single" w:sz="4" w:space="0" w:color="000000"/>
              <w:left w:val="single" w:sz="4" w:space="0" w:color="000000"/>
              <w:bottom w:val="single" w:sz="4" w:space="0" w:color="000000"/>
              <w:right w:val="single" w:sz="4" w:space="0" w:color="000000"/>
            </w:tcBorders>
          </w:tcPr>
          <w:p w14:paraId="02A0503F"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Dehydrering</w:t>
            </w:r>
          </w:p>
        </w:tc>
        <w:tc>
          <w:tcPr>
            <w:tcW w:w="1302" w:type="dxa"/>
            <w:tcBorders>
              <w:top w:val="single" w:sz="4" w:space="0" w:color="000000"/>
              <w:left w:val="single" w:sz="4" w:space="0" w:color="000000"/>
              <w:bottom w:val="single" w:sz="4" w:space="0" w:color="000000"/>
              <w:right w:val="single" w:sz="4" w:space="0" w:color="000000"/>
            </w:tcBorders>
          </w:tcPr>
          <w:p w14:paraId="5B334119"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8554F79"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BD6BB4F"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57DCA42F"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5EAFDE1F" w14:textId="77777777" w:rsidTr="00051658">
        <w:trPr>
          <w:cantSplit/>
        </w:trPr>
        <w:tc>
          <w:tcPr>
            <w:tcW w:w="1302" w:type="dxa"/>
            <w:tcBorders>
              <w:top w:val="single" w:sz="4" w:space="0" w:color="000000"/>
              <w:left w:val="single" w:sz="4" w:space="0" w:color="000000"/>
              <w:bottom w:val="single" w:sz="4" w:space="0" w:color="000000"/>
              <w:right w:val="single" w:sz="4" w:space="0" w:color="000000"/>
            </w:tcBorders>
          </w:tcPr>
          <w:p w14:paraId="22DA5773"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Nerve</w:t>
            </w:r>
            <w:r w:rsidR="004B3750">
              <w:rPr>
                <w:snapToGrid w:val="0"/>
                <w:sz w:val="20"/>
                <w:lang w:val="da-DK"/>
              </w:rPr>
              <w:noBreakHyphen/>
            </w:r>
            <w:r w:rsidRPr="001278B6">
              <w:rPr>
                <w:snapToGrid w:val="0"/>
                <w:sz w:val="20"/>
                <w:lang w:val="da-DK"/>
              </w:rPr>
              <w:t>systemet</w:t>
            </w:r>
          </w:p>
        </w:tc>
        <w:tc>
          <w:tcPr>
            <w:tcW w:w="1302" w:type="dxa"/>
            <w:tcBorders>
              <w:top w:val="single" w:sz="4" w:space="0" w:color="000000"/>
              <w:left w:val="single" w:sz="4" w:space="0" w:color="000000"/>
              <w:bottom w:val="single" w:sz="4" w:space="0" w:color="000000"/>
              <w:right w:val="single" w:sz="4" w:space="0" w:color="000000"/>
            </w:tcBorders>
          </w:tcPr>
          <w:p w14:paraId="2D5995DE" w14:textId="694D906E" w:rsidR="00273A2F" w:rsidRDefault="00473235" w:rsidP="00051658">
            <w:pPr>
              <w:pStyle w:val="TableParagraph"/>
              <w:widowControl/>
              <w:adjustRightInd w:val="0"/>
              <w:snapToGrid w:val="0"/>
              <w:rPr>
                <w:snapToGrid w:val="0"/>
                <w:sz w:val="20"/>
                <w:lang w:val="da-DK"/>
              </w:rPr>
            </w:pPr>
            <w:r w:rsidRPr="001278B6">
              <w:rPr>
                <w:snapToGrid w:val="0"/>
                <w:sz w:val="20"/>
                <w:lang w:val="da-DK"/>
              </w:rPr>
              <w:t>Perifer</w:t>
            </w:r>
            <w:r w:rsidR="000C07C5">
              <w:rPr>
                <w:snapToGrid w:val="0"/>
                <w:sz w:val="20"/>
                <w:lang w:val="da-DK"/>
              </w:rPr>
              <w:t xml:space="preserve"> </w:t>
            </w:r>
            <w:r w:rsidRPr="001278B6">
              <w:rPr>
                <w:snapToGrid w:val="0"/>
                <w:sz w:val="20"/>
                <w:lang w:val="da-DK"/>
              </w:rPr>
              <w:t>sensorisk neuropati</w:t>
            </w:r>
            <w:r w:rsidRPr="001278B6">
              <w:rPr>
                <w:snapToGrid w:val="0"/>
                <w:sz w:val="20"/>
                <w:vertAlign w:val="superscript"/>
                <w:lang w:val="da-DK"/>
              </w:rPr>
              <w:t>b</w:t>
            </w:r>
            <w:r w:rsidR="00D92BDD">
              <w:rPr>
                <w:snapToGrid w:val="0"/>
                <w:sz w:val="20"/>
                <w:lang w:val="da-DK"/>
              </w:rPr>
              <w:t>,</w:t>
            </w:r>
          </w:p>
          <w:p w14:paraId="60D73D3D" w14:textId="5FAAAF50" w:rsidR="00273A2F" w:rsidRDefault="00D92BDD" w:rsidP="00051658">
            <w:pPr>
              <w:pStyle w:val="TableParagraph"/>
              <w:widowControl/>
              <w:adjustRightInd w:val="0"/>
              <w:snapToGrid w:val="0"/>
              <w:rPr>
                <w:snapToGrid w:val="0"/>
                <w:sz w:val="20"/>
                <w:lang w:val="da-DK"/>
              </w:rPr>
            </w:pPr>
            <w:r>
              <w:rPr>
                <w:snapToGrid w:val="0"/>
                <w:sz w:val="20"/>
                <w:lang w:val="da-DK"/>
              </w:rPr>
              <w:t>d</w:t>
            </w:r>
            <w:r w:rsidR="00473235" w:rsidRPr="001278B6">
              <w:rPr>
                <w:snapToGrid w:val="0"/>
                <w:sz w:val="20"/>
                <w:lang w:val="da-DK"/>
              </w:rPr>
              <w:t>ysartri</w:t>
            </w:r>
            <w:r>
              <w:rPr>
                <w:snapToGrid w:val="0"/>
                <w:sz w:val="20"/>
                <w:lang w:val="da-DK"/>
              </w:rPr>
              <w:t>,</w:t>
            </w:r>
            <w:r w:rsidR="00473235" w:rsidRPr="001278B6">
              <w:rPr>
                <w:snapToGrid w:val="0"/>
                <w:sz w:val="20"/>
                <w:lang w:val="da-DK"/>
              </w:rPr>
              <w:t xml:space="preserve"> </w:t>
            </w:r>
          </w:p>
          <w:p w14:paraId="3C5533F6" w14:textId="32148AB9" w:rsidR="00273A2F" w:rsidRDefault="00D92BDD" w:rsidP="00051658">
            <w:pPr>
              <w:pStyle w:val="TableParagraph"/>
              <w:widowControl/>
              <w:adjustRightInd w:val="0"/>
              <w:snapToGrid w:val="0"/>
              <w:rPr>
                <w:snapToGrid w:val="0"/>
                <w:sz w:val="20"/>
                <w:lang w:val="da-DK"/>
              </w:rPr>
            </w:pPr>
            <w:r>
              <w:rPr>
                <w:snapToGrid w:val="0"/>
                <w:sz w:val="20"/>
                <w:lang w:val="da-DK"/>
              </w:rPr>
              <w:t>h</w:t>
            </w:r>
            <w:r w:rsidR="00473235" w:rsidRPr="001278B6">
              <w:rPr>
                <w:snapToGrid w:val="0"/>
                <w:sz w:val="20"/>
                <w:lang w:val="da-DK"/>
              </w:rPr>
              <w:t>ovedpine</w:t>
            </w:r>
            <w:r>
              <w:rPr>
                <w:snapToGrid w:val="0"/>
                <w:sz w:val="20"/>
                <w:lang w:val="da-DK"/>
              </w:rPr>
              <w:t>,</w:t>
            </w:r>
            <w:r w:rsidR="00473235" w:rsidRPr="001278B6">
              <w:rPr>
                <w:snapToGrid w:val="0"/>
                <w:sz w:val="20"/>
                <w:lang w:val="da-DK"/>
              </w:rPr>
              <w:t xml:space="preserve"> </w:t>
            </w:r>
          </w:p>
          <w:p w14:paraId="2BB7464D" w14:textId="591A9BF2" w:rsidR="003563EF" w:rsidRPr="001278B6" w:rsidRDefault="00D92BDD" w:rsidP="00051658">
            <w:pPr>
              <w:pStyle w:val="TableParagraph"/>
              <w:widowControl/>
              <w:adjustRightInd w:val="0"/>
              <w:snapToGrid w:val="0"/>
              <w:rPr>
                <w:snapToGrid w:val="0"/>
                <w:sz w:val="20"/>
                <w:lang w:val="da-DK"/>
              </w:rPr>
            </w:pPr>
            <w:r>
              <w:rPr>
                <w:snapToGrid w:val="0"/>
                <w:sz w:val="20"/>
                <w:lang w:val="da-DK"/>
              </w:rPr>
              <w:t>d</w:t>
            </w:r>
            <w:r w:rsidR="00473235" w:rsidRPr="001278B6">
              <w:rPr>
                <w:snapToGrid w:val="0"/>
                <w:sz w:val="20"/>
                <w:lang w:val="da-DK"/>
              </w:rPr>
              <w:t>ysgeusi</w:t>
            </w:r>
          </w:p>
        </w:tc>
        <w:tc>
          <w:tcPr>
            <w:tcW w:w="1302" w:type="dxa"/>
            <w:tcBorders>
              <w:top w:val="single" w:sz="4" w:space="0" w:color="000000"/>
              <w:left w:val="single" w:sz="4" w:space="0" w:color="000000"/>
              <w:bottom w:val="single" w:sz="4" w:space="0" w:color="000000"/>
              <w:right w:val="single" w:sz="4" w:space="0" w:color="000000"/>
            </w:tcBorders>
          </w:tcPr>
          <w:p w14:paraId="3110BAF6" w14:textId="6CDD6A5A" w:rsidR="001170A4" w:rsidRDefault="00473235" w:rsidP="00051658">
            <w:pPr>
              <w:pStyle w:val="TableParagraph"/>
              <w:widowControl/>
              <w:adjustRightInd w:val="0"/>
              <w:snapToGrid w:val="0"/>
              <w:rPr>
                <w:snapToGrid w:val="0"/>
                <w:sz w:val="20"/>
                <w:lang w:val="da-DK"/>
              </w:rPr>
            </w:pPr>
            <w:r w:rsidRPr="001278B6">
              <w:rPr>
                <w:snapToGrid w:val="0"/>
                <w:sz w:val="20"/>
                <w:lang w:val="da-DK"/>
              </w:rPr>
              <w:t>Cerebro</w:t>
            </w:r>
            <w:r w:rsidR="004B3750">
              <w:rPr>
                <w:snapToGrid w:val="0"/>
                <w:sz w:val="20"/>
                <w:lang w:val="da-DK"/>
              </w:rPr>
              <w:noBreakHyphen/>
            </w:r>
            <w:r w:rsidRPr="001278B6">
              <w:rPr>
                <w:snapToGrid w:val="0"/>
                <w:sz w:val="20"/>
                <w:lang w:val="da-DK"/>
              </w:rPr>
              <w:t>vaskulære hændelse</w:t>
            </w:r>
            <w:r w:rsidR="00D92BDD">
              <w:rPr>
                <w:snapToGrid w:val="0"/>
                <w:sz w:val="20"/>
                <w:lang w:val="da-DK"/>
              </w:rPr>
              <w:t>,</w:t>
            </w:r>
          </w:p>
          <w:p w14:paraId="69E131AD" w14:textId="0545FDED" w:rsidR="001170A4" w:rsidRDefault="00D92BDD"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ynkope</w:t>
            </w:r>
            <w:r>
              <w:rPr>
                <w:snapToGrid w:val="0"/>
                <w:sz w:val="20"/>
                <w:lang w:val="da-DK"/>
              </w:rPr>
              <w:t>,</w:t>
            </w:r>
            <w:r w:rsidR="00473235" w:rsidRPr="001278B6">
              <w:rPr>
                <w:snapToGrid w:val="0"/>
                <w:sz w:val="20"/>
                <w:lang w:val="da-DK"/>
              </w:rPr>
              <w:t xml:space="preserve"> </w:t>
            </w:r>
          </w:p>
          <w:p w14:paraId="7F3BB088" w14:textId="692B310E" w:rsidR="003563EF" w:rsidRPr="001278B6" w:rsidRDefault="00D92BDD"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øvnighed</w:t>
            </w:r>
          </w:p>
        </w:tc>
        <w:tc>
          <w:tcPr>
            <w:tcW w:w="1302" w:type="dxa"/>
            <w:tcBorders>
              <w:top w:val="single" w:sz="4" w:space="0" w:color="000000"/>
              <w:left w:val="single" w:sz="4" w:space="0" w:color="000000"/>
              <w:bottom w:val="single" w:sz="4" w:space="0" w:color="000000"/>
              <w:right w:val="single" w:sz="4" w:space="0" w:color="000000"/>
            </w:tcBorders>
          </w:tcPr>
          <w:p w14:paraId="2FF046D2"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2FD9B20B" w14:textId="77777777" w:rsidR="003563EF" w:rsidRPr="001278B6" w:rsidRDefault="00473235" w:rsidP="00051658">
            <w:pPr>
              <w:pStyle w:val="TableParagraph"/>
              <w:widowControl/>
              <w:adjustRightInd w:val="0"/>
              <w:snapToGrid w:val="0"/>
              <w:rPr>
                <w:snapToGrid w:val="0"/>
                <w:sz w:val="20"/>
                <w:vertAlign w:val="superscript"/>
                <w:lang w:val="da-DK"/>
              </w:rPr>
            </w:pPr>
            <w:r w:rsidRPr="001278B6">
              <w:rPr>
                <w:snapToGrid w:val="0"/>
                <w:sz w:val="20"/>
                <w:lang w:val="da-DK"/>
              </w:rPr>
              <w:t>Posteriort</w:t>
            </w:r>
            <w:r w:rsidR="00A03FE9">
              <w:rPr>
                <w:snapToGrid w:val="0"/>
                <w:sz w:val="20"/>
                <w:lang w:val="da-DK"/>
              </w:rPr>
              <w:t xml:space="preserve"> </w:t>
            </w:r>
            <w:r w:rsidRPr="001278B6">
              <w:rPr>
                <w:snapToGrid w:val="0"/>
                <w:sz w:val="20"/>
                <w:lang w:val="da-DK"/>
              </w:rPr>
              <w:t>reversi</w:t>
            </w:r>
            <w:r w:rsidR="004B3750">
              <w:rPr>
                <w:snapToGrid w:val="0"/>
                <w:sz w:val="20"/>
                <w:lang w:val="da-DK"/>
              </w:rPr>
              <w:noBreakHyphen/>
            </w:r>
            <w:r w:rsidRPr="001278B6">
              <w:rPr>
                <w:snapToGrid w:val="0"/>
                <w:sz w:val="20"/>
                <w:lang w:val="da-DK"/>
              </w:rPr>
              <w:t>belt encefalo</w:t>
            </w:r>
            <w:r w:rsidR="004B3750">
              <w:rPr>
                <w:snapToGrid w:val="0"/>
                <w:sz w:val="20"/>
                <w:lang w:val="da-DK"/>
              </w:rPr>
              <w:noBreakHyphen/>
            </w:r>
            <w:r w:rsidRPr="001278B6">
              <w:rPr>
                <w:snapToGrid w:val="0"/>
                <w:sz w:val="20"/>
                <w:lang w:val="da-DK"/>
              </w:rPr>
              <w:t>pati syndrom</w:t>
            </w:r>
            <w:r w:rsidR="00DB2168">
              <w:rPr>
                <w:snapToGrid w:val="0"/>
                <w:sz w:val="20"/>
                <w:vertAlign w:val="superscript"/>
                <w:lang w:val="da-DK"/>
              </w:rPr>
              <w:br/>
            </w:r>
            <w:r w:rsidRPr="001278B6">
              <w:rPr>
                <w:snapToGrid w:val="0"/>
                <w:sz w:val="20"/>
                <w:vertAlign w:val="superscript"/>
                <w:lang w:val="da-DK"/>
              </w:rPr>
              <w:t>a</w:t>
            </w:r>
            <w:r w:rsidR="009667C0">
              <w:rPr>
                <w:snapToGrid w:val="0"/>
                <w:sz w:val="20"/>
                <w:vertAlign w:val="superscript"/>
                <w:lang w:val="da-DK"/>
              </w:rPr>
              <w:t>,</w:t>
            </w:r>
            <w:r w:rsidRPr="001278B6">
              <w:rPr>
                <w:snapToGrid w:val="0"/>
                <w:sz w:val="20"/>
                <w:vertAlign w:val="superscript"/>
                <w:lang w:val="da-DK"/>
              </w:rPr>
              <w:t>b</w:t>
            </w:r>
            <w:r w:rsidR="009667C0">
              <w:rPr>
                <w:snapToGrid w:val="0"/>
                <w:sz w:val="20"/>
                <w:vertAlign w:val="superscript"/>
                <w:lang w:val="da-DK"/>
              </w:rPr>
              <w:t>,</w:t>
            </w:r>
            <w:r w:rsidRPr="001278B6">
              <w:rPr>
                <w:snapToGrid w:val="0"/>
                <w:sz w:val="20"/>
                <w:vertAlign w:val="superscript"/>
                <w:lang w:val="da-DK"/>
              </w:rPr>
              <w:t>d</w:t>
            </w:r>
          </w:p>
        </w:tc>
        <w:tc>
          <w:tcPr>
            <w:tcW w:w="1302" w:type="dxa"/>
            <w:tcBorders>
              <w:top w:val="single" w:sz="4" w:space="0" w:color="000000"/>
              <w:left w:val="single" w:sz="4" w:space="0" w:color="000000"/>
              <w:bottom w:val="single" w:sz="4" w:space="0" w:color="000000"/>
              <w:right w:val="single" w:sz="4" w:space="0" w:color="000000"/>
            </w:tcBorders>
          </w:tcPr>
          <w:p w14:paraId="4D901BF9"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Hyper</w:t>
            </w:r>
            <w:r w:rsidR="004B3750">
              <w:rPr>
                <w:snapToGrid w:val="0"/>
                <w:sz w:val="20"/>
                <w:lang w:val="da-DK"/>
              </w:rPr>
              <w:noBreakHyphen/>
            </w:r>
            <w:r w:rsidRPr="001278B6">
              <w:rPr>
                <w:snapToGrid w:val="0"/>
                <w:sz w:val="20"/>
                <w:lang w:val="da-DK"/>
              </w:rPr>
              <w:t>tensiv encefalo</w:t>
            </w:r>
            <w:r w:rsidR="004B3750">
              <w:rPr>
                <w:snapToGrid w:val="0"/>
                <w:sz w:val="20"/>
                <w:lang w:val="da-DK"/>
              </w:rPr>
              <w:noBreakHyphen/>
            </w:r>
            <w:r w:rsidRPr="001278B6">
              <w:rPr>
                <w:snapToGrid w:val="0"/>
                <w:sz w:val="20"/>
                <w:lang w:val="da-DK"/>
              </w:rPr>
              <w:t>pati</w:t>
            </w:r>
            <w:r w:rsidRPr="001278B6">
              <w:rPr>
                <w:snapToGrid w:val="0"/>
                <w:sz w:val="20"/>
                <w:vertAlign w:val="superscript"/>
                <w:lang w:val="da-DK"/>
              </w:rPr>
              <w:t>a</w:t>
            </w:r>
          </w:p>
        </w:tc>
        <w:tc>
          <w:tcPr>
            <w:tcW w:w="1303" w:type="dxa"/>
            <w:tcBorders>
              <w:top w:val="single" w:sz="4" w:space="0" w:color="000000"/>
              <w:left w:val="single" w:sz="4" w:space="0" w:color="000000"/>
              <w:bottom w:val="single" w:sz="4" w:space="0" w:color="000000"/>
              <w:right w:val="single" w:sz="4" w:space="0" w:color="000000"/>
            </w:tcBorders>
          </w:tcPr>
          <w:p w14:paraId="2C8E0057"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247C5D96" w14:textId="77777777" w:rsidTr="00051658">
        <w:trPr>
          <w:cantSplit/>
        </w:trPr>
        <w:tc>
          <w:tcPr>
            <w:tcW w:w="1302" w:type="dxa"/>
            <w:tcBorders>
              <w:top w:val="single" w:sz="4" w:space="0" w:color="000000"/>
              <w:bottom w:val="single" w:sz="4" w:space="0" w:color="000000"/>
              <w:right w:val="single" w:sz="4" w:space="0" w:color="000000"/>
            </w:tcBorders>
          </w:tcPr>
          <w:p w14:paraId="1BE94745"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Øjne</w:t>
            </w:r>
          </w:p>
        </w:tc>
        <w:tc>
          <w:tcPr>
            <w:tcW w:w="1302" w:type="dxa"/>
            <w:tcBorders>
              <w:top w:val="single" w:sz="4" w:space="0" w:color="000000"/>
              <w:left w:val="single" w:sz="4" w:space="0" w:color="000000"/>
              <w:bottom w:val="single" w:sz="4" w:space="0" w:color="000000"/>
              <w:right w:val="single" w:sz="4" w:space="0" w:color="000000"/>
            </w:tcBorders>
          </w:tcPr>
          <w:p w14:paraId="5F5FED25"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Øjengener</w:t>
            </w:r>
            <w:r w:rsidR="00D92BDD">
              <w:rPr>
                <w:snapToGrid w:val="0"/>
                <w:sz w:val="20"/>
                <w:lang w:val="da-DK"/>
              </w:rPr>
              <w:t xml:space="preserve">, </w:t>
            </w:r>
          </w:p>
          <w:p w14:paraId="7E197E6D" w14:textId="3905DCA0" w:rsidR="003563EF" w:rsidRPr="001278B6" w:rsidRDefault="00D92BDD" w:rsidP="00051658">
            <w:pPr>
              <w:pStyle w:val="TableParagraph"/>
              <w:widowControl/>
              <w:adjustRightInd w:val="0"/>
              <w:snapToGrid w:val="0"/>
              <w:rPr>
                <w:snapToGrid w:val="0"/>
                <w:sz w:val="20"/>
                <w:lang w:val="da-DK"/>
              </w:rPr>
            </w:pPr>
            <w:r>
              <w:rPr>
                <w:snapToGrid w:val="0"/>
                <w:sz w:val="20"/>
                <w:lang w:val="da-DK"/>
              </w:rPr>
              <w:t>t</w:t>
            </w:r>
            <w:r w:rsidR="00473235" w:rsidRPr="001278B6">
              <w:rPr>
                <w:snapToGrid w:val="0"/>
                <w:sz w:val="20"/>
                <w:lang w:val="da-DK"/>
              </w:rPr>
              <w:t>åreflåd</w:t>
            </w:r>
          </w:p>
        </w:tc>
        <w:tc>
          <w:tcPr>
            <w:tcW w:w="1302" w:type="dxa"/>
            <w:tcBorders>
              <w:top w:val="single" w:sz="4" w:space="0" w:color="000000"/>
              <w:left w:val="single" w:sz="4" w:space="0" w:color="000000"/>
              <w:bottom w:val="single" w:sz="4" w:space="0" w:color="000000"/>
              <w:right w:val="single" w:sz="4" w:space="0" w:color="000000"/>
            </w:tcBorders>
          </w:tcPr>
          <w:p w14:paraId="33142192"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2658AF30"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3345936A"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0F350E38"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016F437A" w14:textId="77777777" w:rsidR="003563EF" w:rsidRPr="001278B6" w:rsidRDefault="003563EF" w:rsidP="003C1C0B">
            <w:pPr>
              <w:pStyle w:val="TableParagraph"/>
              <w:widowControl/>
              <w:adjustRightInd w:val="0"/>
              <w:snapToGrid w:val="0"/>
              <w:rPr>
                <w:snapToGrid w:val="0"/>
                <w:sz w:val="20"/>
                <w:lang w:val="da-DK"/>
              </w:rPr>
            </w:pPr>
          </w:p>
        </w:tc>
      </w:tr>
      <w:tr w:rsidR="008E4C56" w:rsidRPr="007E69C7" w14:paraId="0ED37699" w14:textId="77777777" w:rsidTr="00051658">
        <w:trPr>
          <w:cantSplit/>
        </w:trPr>
        <w:tc>
          <w:tcPr>
            <w:tcW w:w="1302" w:type="dxa"/>
            <w:tcBorders>
              <w:top w:val="single" w:sz="4" w:space="0" w:color="000000"/>
              <w:bottom w:val="single" w:sz="4" w:space="0" w:color="000000"/>
              <w:right w:val="single" w:sz="4" w:space="0" w:color="000000"/>
            </w:tcBorders>
          </w:tcPr>
          <w:p w14:paraId="521F1B29"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Hjerte</w:t>
            </w:r>
          </w:p>
        </w:tc>
        <w:tc>
          <w:tcPr>
            <w:tcW w:w="1302" w:type="dxa"/>
            <w:tcBorders>
              <w:top w:val="single" w:sz="4" w:space="0" w:color="000000"/>
              <w:left w:val="single" w:sz="4" w:space="0" w:color="000000"/>
              <w:bottom w:val="single" w:sz="4" w:space="0" w:color="000000"/>
              <w:right w:val="single" w:sz="4" w:space="0" w:color="000000"/>
            </w:tcBorders>
          </w:tcPr>
          <w:p w14:paraId="0E61C6CE"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28570E89" w14:textId="15009084"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Kongestivt</w:t>
            </w:r>
            <w:r w:rsidR="00A03FE9">
              <w:rPr>
                <w:snapToGrid w:val="0"/>
                <w:sz w:val="20"/>
                <w:lang w:val="da-DK"/>
              </w:rPr>
              <w:t xml:space="preserve"> </w:t>
            </w:r>
            <w:r w:rsidRPr="001278B6">
              <w:rPr>
                <w:snapToGrid w:val="0"/>
                <w:sz w:val="20"/>
                <w:lang w:val="da-DK"/>
              </w:rPr>
              <w:t>hjertesvigt</w:t>
            </w:r>
            <w:r w:rsidRPr="001278B6">
              <w:rPr>
                <w:snapToGrid w:val="0"/>
                <w:sz w:val="20"/>
                <w:vertAlign w:val="superscript"/>
                <w:lang w:val="da-DK"/>
              </w:rPr>
              <w:t>b,d</w:t>
            </w:r>
            <w:r w:rsidR="00D92BDD">
              <w:rPr>
                <w:snapToGrid w:val="0"/>
                <w:sz w:val="20"/>
                <w:lang w:val="da-DK"/>
              </w:rPr>
              <w:t>, s</w:t>
            </w:r>
            <w:r w:rsidRPr="001278B6">
              <w:rPr>
                <w:snapToGrid w:val="0"/>
                <w:sz w:val="20"/>
                <w:lang w:val="da-DK"/>
              </w:rPr>
              <w:t>upra</w:t>
            </w:r>
            <w:r w:rsidR="004B3750">
              <w:rPr>
                <w:snapToGrid w:val="0"/>
                <w:sz w:val="20"/>
                <w:lang w:val="da-DK"/>
              </w:rPr>
              <w:noBreakHyphen/>
            </w:r>
            <w:r w:rsidRPr="001278B6">
              <w:rPr>
                <w:snapToGrid w:val="0"/>
                <w:sz w:val="20"/>
                <w:lang w:val="da-DK"/>
              </w:rPr>
              <w:t>ventrikulær</w:t>
            </w:r>
            <w:r w:rsidR="000D5773">
              <w:rPr>
                <w:snapToGrid w:val="0"/>
                <w:sz w:val="20"/>
                <w:lang w:val="da-DK"/>
              </w:rPr>
              <w:t xml:space="preserve"> </w:t>
            </w:r>
            <w:r w:rsidRPr="001278B6">
              <w:rPr>
                <w:snapToGrid w:val="0"/>
                <w:sz w:val="20"/>
                <w:lang w:val="da-DK"/>
              </w:rPr>
              <w:t>takykardi</w:t>
            </w:r>
          </w:p>
        </w:tc>
        <w:tc>
          <w:tcPr>
            <w:tcW w:w="1302" w:type="dxa"/>
            <w:tcBorders>
              <w:top w:val="single" w:sz="4" w:space="0" w:color="000000"/>
              <w:left w:val="single" w:sz="4" w:space="0" w:color="000000"/>
              <w:bottom w:val="single" w:sz="4" w:space="0" w:color="000000"/>
              <w:right w:val="single" w:sz="4" w:space="0" w:color="000000"/>
            </w:tcBorders>
          </w:tcPr>
          <w:p w14:paraId="2ED55A76"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49FC3FA7"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D22BAE3"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686892C5" w14:textId="77777777" w:rsidR="003563EF" w:rsidRPr="001278B6" w:rsidRDefault="003563EF" w:rsidP="003C1C0B">
            <w:pPr>
              <w:pStyle w:val="TableParagraph"/>
              <w:widowControl/>
              <w:adjustRightInd w:val="0"/>
              <w:snapToGrid w:val="0"/>
              <w:rPr>
                <w:snapToGrid w:val="0"/>
                <w:sz w:val="20"/>
                <w:lang w:val="da-DK"/>
              </w:rPr>
            </w:pPr>
          </w:p>
        </w:tc>
      </w:tr>
      <w:tr w:rsidR="008E4C56" w:rsidRPr="007E69C7" w14:paraId="72EEE92B" w14:textId="77777777" w:rsidTr="00051658">
        <w:trPr>
          <w:cantSplit/>
        </w:trPr>
        <w:tc>
          <w:tcPr>
            <w:tcW w:w="1302" w:type="dxa"/>
            <w:tcBorders>
              <w:top w:val="single" w:sz="4" w:space="0" w:color="000000"/>
              <w:bottom w:val="single" w:sz="4" w:space="0" w:color="000000"/>
              <w:right w:val="single" w:sz="4" w:space="0" w:color="000000"/>
            </w:tcBorders>
          </w:tcPr>
          <w:p w14:paraId="617975B1"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Vaskulære</w:t>
            </w:r>
            <w:r w:rsidR="00273A2F">
              <w:rPr>
                <w:snapToGrid w:val="0"/>
                <w:sz w:val="20"/>
                <w:lang w:val="da-DK"/>
              </w:rPr>
              <w:t xml:space="preserve"> </w:t>
            </w:r>
            <w:r w:rsidRPr="001278B6">
              <w:rPr>
                <w:snapToGrid w:val="0"/>
                <w:sz w:val="20"/>
                <w:lang w:val="da-DK"/>
              </w:rPr>
              <w:t>sygdomme</w:t>
            </w:r>
          </w:p>
        </w:tc>
        <w:tc>
          <w:tcPr>
            <w:tcW w:w="1302" w:type="dxa"/>
            <w:tcBorders>
              <w:top w:val="single" w:sz="4" w:space="0" w:color="000000"/>
              <w:left w:val="single" w:sz="4" w:space="0" w:color="000000"/>
              <w:bottom w:val="single" w:sz="4" w:space="0" w:color="000000"/>
              <w:right w:val="single" w:sz="4" w:space="0" w:color="000000"/>
            </w:tcBorders>
          </w:tcPr>
          <w:p w14:paraId="4FD6AE51" w14:textId="03F93D0C"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Hyper</w:t>
            </w:r>
            <w:r w:rsidR="004B3750">
              <w:rPr>
                <w:snapToGrid w:val="0"/>
                <w:sz w:val="20"/>
                <w:lang w:val="da-DK"/>
              </w:rPr>
              <w:noBreakHyphen/>
            </w:r>
            <w:r w:rsidRPr="001278B6">
              <w:rPr>
                <w:snapToGrid w:val="0"/>
                <w:sz w:val="20"/>
                <w:lang w:val="da-DK"/>
              </w:rPr>
              <w:t>tension</w:t>
            </w:r>
            <w:r w:rsidRPr="001278B6">
              <w:rPr>
                <w:snapToGrid w:val="0"/>
                <w:sz w:val="20"/>
                <w:vertAlign w:val="superscript"/>
                <w:lang w:val="da-DK"/>
              </w:rPr>
              <w:t>b,d</w:t>
            </w:r>
            <w:r w:rsidR="00D92BDD">
              <w:rPr>
                <w:snapToGrid w:val="0"/>
                <w:sz w:val="20"/>
                <w:lang w:val="da-DK"/>
              </w:rPr>
              <w:t>, t</w:t>
            </w:r>
            <w:r w:rsidRPr="001278B6">
              <w:rPr>
                <w:snapToGrid w:val="0"/>
                <w:sz w:val="20"/>
                <w:lang w:val="da-DK"/>
              </w:rPr>
              <w:t>romboemboli (venøs)</w:t>
            </w:r>
            <w:r w:rsidRPr="001278B6">
              <w:rPr>
                <w:snapToGrid w:val="0"/>
                <w:sz w:val="20"/>
                <w:vertAlign w:val="superscript"/>
                <w:lang w:val="da-DK"/>
              </w:rPr>
              <w:t>b,d</w:t>
            </w:r>
          </w:p>
        </w:tc>
        <w:tc>
          <w:tcPr>
            <w:tcW w:w="1302" w:type="dxa"/>
            <w:tcBorders>
              <w:top w:val="single" w:sz="4" w:space="0" w:color="000000"/>
              <w:left w:val="single" w:sz="4" w:space="0" w:color="000000"/>
              <w:bottom w:val="single" w:sz="4" w:space="0" w:color="000000"/>
              <w:right w:val="single" w:sz="4" w:space="0" w:color="000000"/>
            </w:tcBorders>
          </w:tcPr>
          <w:p w14:paraId="7D121821" w14:textId="77777777" w:rsidR="006B1A38" w:rsidRDefault="00473235" w:rsidP="00051658">
            <w:pPr>
              <w:pStyle w:val="TableParagraph"/>
              <w:widowControl/>
              <w:adjustRightInd w:val="0"/>
              <w:snapToGrid w:val="0"/>
              <w:rPr>
                <w:snapToGrid w:val="0"/>
                <w:sz w:val="20"/>
                <w:lang w:val="da-DK"/>
              </w:rPr>
            </w:pPr>
            <w:r w:rsidRPr="003C63FB">
              <w:rPr>
                <w:snapToGrid w:val="0"/>
                <w:sz w:val="20"/>
                <w:lang w:val="nb-NO"/>
              </w:rPr>
              <w:t>Trombo</w:t>
            </w:r>
            <w:r w:rsidR="004B3750" w:rsidRPr="003C63FB">
              <w:rPr>
                <w:snapToGrid w:val="0"/>
                <w:sz w:val="20"/>
                <w:lang w:val="nb-NO"/>
              </w:rPr>
              <w:noBreakHyphen/>
            </w:r>
            <w:r w:rsidRPr="003C63FB">
              <w:rPr>
                <w:snapToGrid w:val="0"/>
                <w:sz w:val="20"/>
                <w:lang w:val="nb-NO"/>
              </w:rPr>
              <w:t>emboli (arteriel)</w:t>
            </w:r>
            <w:r w:rsidRPr="003C63FB">
              <w:rPr>
                <w:snapToGrid w:val="0"/>
                <w:sz w:val="20"/>
                <w:vertAlign w:val="superscript"/>
                <w:lang w:val="nb-NO"/>
              </w:rPr>
              <w:t>b,d</w:t>
            </w:r>
            <w:r w:rsidR="00D92BDD" w:rsidRPr="003C63FB">
              <w:rPr>
                <w:snapToGrid w:val="0"/>
                <w:sz w:val="20"/>
                <w:lang w:val="nb-NO"/>
              </w:rPr>
              <w:t>, b</w:t>
            </w:r>
            <w:r w:rsidRPr="003C63FB">
              <w:rPr>
                <w:snapToGrid w:val="0"/>
                <w:sz w:val="20"/>
                <w:lang w:val="nb-NO"/>
              </w:rPr>
              <w:t>lødning</w:t>
            </w:r>
            <w:r w:rsidRPr="003C63FB">
              <w:rPr>
                <w:snapToGrid w:val="0"/>
                <w:sz w:val="20"/>
                <w:vertAlign w:val="superscript"/>
                <w:lang w:val="nb-NO"/>
              </w:rPr>
              <w:t>b,d</w:t>
            </w:r>
            <w:r w:rsidR="00D92BDD" w:rsidRPr="003C63FB">
              <w:rPr>
                <w:snapToGrid w:val="0"/>
                <w:sz w:val="20"/>
                <w:lang w:val="nb-NO"/>
              </w:rPr>
              <w:t xml:space="preserve">. </w:t>
            </w:r>
            <w:r w:rsidR="00D92BDD">
              <w:rPr>
                <w:snapToGrid w:val="0"/>
                <w:sz w:val="20"/>
                <w:lang w:val="da-DK"/>
              </w:rPr>
              <w:t>d</w:t>
            </w:r>
            <w:r w:rsidRPr="001278B6">
              <w:rPr>
                <w:snapToGrid w:val="0"/>
                <w:sz w:val="20"/>
                <w:lang w:val="da-DK"/>
              </w:rPr>
              <w:t>yb vene</w:t>
            </w:r>
            <w:r w:rsidR="004B3750">
              <w:rPr>
                <w:snapToGrid w:val="0"/>
                <w:sz w:val="20"/>
                <w:lang w:val="da-DK"/>
              </w:rPr>
              <w:noBreakHyphen/>
            </w:r>
          </w:p>
          <w:p w14:paraId="2568EEBD" w14:textId="5E65A905"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trombose</w:t>
            </w:r>
          </w:p>
        </w:tc>
        <w:tc>
          <w:tcPr>
            <w:tcW w:w="1302" w:type="dxa"/>
            <w:tcBorders>
              <w:top w:val="single" w:sz="4" w:space="0" w:color="000000"/>
              <w:left w:val="single" w:sz="4" w:space="0" w:color="000000"/>
              <w:bottom w:val="single" w:sz="4" w:space="0" w:color="000000"/>
              <w:right w:val="single" w:sz="4" w:space="0" w:color="000000"/>
            </w:tcBorders>
          </w:tcPr>
          <w:p w14:paraId="459B8D25"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7B829F07"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D1BC089"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41B5B509" w14:textId="4C25EDF3"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Renal</w:t>
            </w:r>
            <w:r w:rsidR="00A1548D">
              <w:rPr>
                <w:snapToGrid w:val="0"/>
                <w:sz w:val="20"/>
                <w:lang w:val="da-DK"/>
              </w:rPr>
              <w:t xml:space="preserve"> </w:t>
            </w:r>
            <w:r w:rsidRPr="001278B6">
              <w:rPr>
                <w:snapToGrid w:val="0"/>
                <w:sz w:val="20"/>
                <w:lang w:val="da-DK"/>
              </w:rPr>
              <w:t>trombotisk mikro</w:t>
            </w:r>
            <w:r w:rsidR="004B3750">
              <w:rPr>
                <w:snapToGrid w:val="0"/>
                <w:sz w:val="20"/>
                <w:lang w:val="da-DK"/>
              </w:rPr>
              <w:noBreakHyphen/>
            </w:r>
            <w:r w:rsidRPr="001278B6">
              <w:rPr>
                <w:snapToGrid w:val="0"/>
                <w:sz w:val="20"/>
                <w:lang w:val="da-DK"/>
              </w:rPr>
              <w:t>angiopati</w:t>
            </w:r>
            <w:r w:rsidRPr="001278B6">
              <w:rPr>
                <w:snapToGrid w:val="0"/>
                <w:sz w:val="20"/>
                <w:vertAlign w:val="superscript"/>
                <w:lang w:val="da-DK"/>
              </w:rPr>
              <w:t>a,b</w:t>
            </w:r>
            <w:r w:rsidR="00D92BDD">
              <w:rPr>
                <w:snapToGrid w:val="0"/>
                <w:sz w:val="20"/>
                <w:lang w:val="da-DK"/>
              </w:rPr>
              <w:t>, a</w:t>
            </w:r>
            <w:r w:rsidRPr="001278B6">
              <w:rPr>
                <w:snapToGrid w:val="0"/>
                <w:sz w:val="20"/>
                <w:lang w:val="da-DK"/>
              </w:rPr>
              <w:t>neurismer og arterielle</w:t>
            </w:r>
            <w:r w:rsidR="00A1548D">
              <w:rPr>
                <w:snapToGrid w:val="0"/>
                <w:sz w:val="20"/>
                <w:lang w:val="da-DK"/>
              </w:rPr>
              <w:t xml:space="preserve"> </w:t>
            </w:r>
            <w:r w:rsidRPr="001278B6">
              <w:rPr>
                <w:snapToGrid w:val="0"/>
                <w:sz w:val="20"/>
                <w:lang w:val="da-DK"/>
              </w:rPr>
              <w:t>dissektioner</w:t>
            </w:r>
          </w:p>
        </w:tc>
      </w:tr>
      <w:tr w:rsidR="008E4C56" w:rsidRPr="00AE7B75" w14:paraId="654B442D" w14:textId="77777777" w:rsidTr="00051658">
        <w:trPr>
          <w:cantSplit/>
        </w:trPr>
        <w:tc>
          <w:tcPr>
            <w:tcW w:w="1302" w:type="dxa"/>
            <w:tcBorders>
              <w:top w:val="single" w:sz="4" w:space="0" w:color="000000"/>
              <w:bottom w:val="single" w:sz="4" w:space="0" w:color="000000"/>
              <w:right w:val="single" w:sz="4" w:space="0" w:color="000000"/>
            </w:tcBorders>
          </w:tcPr>
          <w:p w14:paraId="5273FAB9" w14:textId="66266EA6" w:rsidR="003563EF" w:rsidRPr="00051658" w:rsidRDefault="00473235" w:rsidP="003C1C0B">
            <w:pPr>
              <w:pStyle w:val="TableParagraph"/>
              <w:widowControl/>
              <w:adjustRightInd w:val="0"/>
              <w:snapToGrid w:val="0"/>
              <w:rPr>
                <w:snapToGrid w:val="0"/>
                <w:sz w:val="20"/>
                <w:lang w:val="nn-NO"/>
              </w:rPr>
            </w:pPr>
            <w:r w:rsidRPr="00051658">
              <w:rPr>
                <w:snapToGrid w:val="0"/>
                <w:sz w:val="20"/>
                <w:lang w:val="nn-NO"/>
              </w:rPr>
              <w:t>Luftveje,</w:t>
            </w:r>
            <w:r w:rsidR="00A03FE9" w:rsidRPr="00051658">
              <w:rPr>
                <w:snapToGrid w:val="0"/>
                <w:sz w:val="20"/>
                <w:lang w:val="nn-NO"/>
              </w:rPr>
              <w:t xml:space="preserve"> </w:t>
            </w:r>
            <w:r w:rsidRPr="00051658">
              <w:rPr>
                <w:snapToGrid w:val="0"/>
                <w:sz w:val="20"/>
                <w:lang w:val="nn-NO"/>
              </w:rPr>
              <w:t>thorax og media</w:t>
            </w:r>
            <w:r w:rsidR="004B3750">
              <w:rPr>
                <w:snapToGrid w:val="0"/>
                <w:sz w:val="20"/>
                <w:lang w:val="nn-NO"/>
              </w:rPr>
              <w:noBreakHyphen/>
            </w:r>
            <w:r w:rsidR="00D92BDD">
              <w:rPr>
                <w:snapToGrid w:val="0"/>
                <w:sz w:val="20"/>
                <w:lang w:val="nn-NO"/>
              </w:rPr>
              <w:t>s</w:t>
            </w:r>
            <w:r w:rsidRPr="00051658">
              <w:rPr>
                <w:snapToGrid w:val="0"/>
                <w:sz w:val="20"/>
                <w:lang w:val="nn-NO"/>
              </w:rPr>
              <w:t>tinum</w:t>
            </w:r>
          </w:p>
        </w:tc>
        <w:tc>
          <w:tcPr>
            <w:tcW w:w="1302" w:type="dxa"/>
            <w:tcBorders>
              <w:top w:val="single" w:sz="4" w:space="0" w:color="000000"/>
              <w:left w:val="single" w:sz="4" w:space="0" w:color="000000"/>
              <w:bottom w:val="single" w:sz="4" w:space="0" w:color="000000"/>
              <w:right w:val="single" w:sz="4" w:space="0" w:color="000000"/>
            </w:tcBorders>
          </w:tcPr>
          <w:p w14:paraId="46667ED2"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Dyspnø</w:t>
            </w:r>
            <w:r w:rsidR="00D92BDD">
              <w:rPr>
                <w:snapToGrid w:val="0"/>
                <w:sz w:val="20"/>
                <w:lang w:val="da-DK"/>
              </w:rPr>
              <w:t>,</w:t>
            </w:r>
          </w:p>
          <w:p w14:paraId="651C228B" w14:textId="6B6FC6C5" w:rsidR="00A1548D" w:rsidRDefault="00D92BDD" w:rsidP="00051658">
            <w:pPr>
              <w:pStyle w:val="TableParagraph"/>
              <w:widowControl/>
              <w:adjustRightInd w:val="0"/>
              <w:snapToGrid w:val="0"/>
              <w:rPr>
                <w:snapToGrid w:val="0"/>
                <w:sz w:val="20"/>
                <w:lang w:val="da-DK"/>
              </w:rPr>
            </w:pPr>
            <w:r>
              <w:rPr>
                <w:snapToGrid w:val="0"/>
                <w:sz w:val="20"/>
                <w:lang w:val="da-DK"/>
              </w:rPr>
              <w:t>r</w:t>
            </w:r>
            <w:r w:rsidR="00473235" w:rsidRPr="001278B6">
              <w:rPr>
                <w:snapToGrid w:val="0"/>
                <w:sz w:val="20"/>
                <w:lang w:val="da-DK"/>
              </w:rPr>
              <w:t>initis</w:t>
            </w:r>
            <w:r>
              <w:rPr>
                <w:snapToGrid w:val="0"/>
                <w:sz w:val="20"/>
                <w:lang w:val="da-DK"/>
              </w:rPr>
              <w:t>,</w:t>
            </w:r>
            <w:r w:rsidR="00473235" w:rsidRPr="001278B6">
              <w:rPr>
                <w:snapToGrid w:val="0"/>
                <w:sz w:val="20"/>
                <w:lang w:val="da-DK"/>
              </w:rPr>
              <w:t xml:space="preserve"> </w:t>
            </w:r>
          </w:p>
          <w:p w14:paraId="036609B0" w14:textId="3A29660F" w:rsidR="00A1548D" w:rsidRDefault="00D92BDD" w:rsidP="00051658">
            <w:pPr>
              <w:pStyle w:val="TableParagraph"/>
              <w:widowControl/>
              <w:adjustRightInd w:val="0"/>
              <w:snapToGrid w:val="0"/>
              <w:rPr>
                <w:snapToGrid w:val="0"/>
                <w:sz w:val="20"/>
                <w:lang w:val="da-DK"/>
              </w:rPr>
            </w:pPr>
            <w:r>
              <w:rPr>
                <w:snapToGrid w:val="0"/>
                <w:sz w:val="20"/>
                <w:lang w:val="da-DK"/>
              </w:rPr>
              <w:t>e</w:t>
            </w:r>
            <w:r w:rsidR="00473235" w:rsidRPr="001278B6">
              <w:rPr>
                <w:snapToGrid w:val="0"/>
                <w:sz w:val="20"/>
                <w:lang w:val="da-DK"/>
              </w:rPr>
              <w:t>pistaxis</w:t>
            </w:r>
            <w:r>
              <w:rPr>
                <w:snapToGrid w:val="0"/>
                <w:sz w:val="20"/>
                <w:lang w:val="da-DK"/>
              </w:rPr>
              <w:t>,</w:t>
            </w:r>
            <w:r w:rsidR="00473235" w:rsidRPr="001278B6">
              <w:rPr>
                <w:snapToGrid w:val="0"/>
                <w:sz w:val="20"/>
                <w:lang w:val="da-DK"/>
              </w:rPr>
              <w:t xml:space="preserve"> </w:t>
            </w:r>
          </w:p>
          <w:p w14:paraId="7C8E5A95" w14:textId="613D15E7" w:rsidR="003563EF" w:rsidRPr="001278B6" w:rsidRDefault="00D92BDD" w:rsidP="00051658">
            <w:pPr>
              <w:pStyle w:val="TableParagraph"/>
              <w:widowControl/>
              <w:adjustRightInd w:val="0"/>
              <w:snapToGrid w:val="0"/>
              <w:rPr>
                <w:snapToGrid w:val="0"/>
                <w:sz w:val="20"/>
                <w:lang w:val="da-DK"/>
              </w:rPr>
            </w:pPr>
            <w:r>
              <w:rPr>
                <w:snapToGrid w:val="0"/>
                <w:sz w:val="20"/>
                <w:lang w:val="da-DK"/>
              </w:rPr>
              <w:t>h</w:t>
            </w:r>
            <w:r w:rsidR="00473235" w:rsidRPr="001278B6">
              <w:rPr>
                <w:snapToGrid w:val="0"/>
                <w:sz w:val="20"/>
                <w:lang w:val="da-DK"/>
              </w:rPr>
              <w:t>oste</w:t>
            </w:r>
          </w:p>
        </w:tc>
        <w:tc>
          <w:tcPr>
            <w:tcW w:w="1302" w:type="dxa"/>
            <w:tcBorders>
              <w:top w:val="single" w:sz="4" w:space="0" w:color="000000"/>
              <w:left w:val="single" w:sz="4" w:space="0" w:color="000000"/>
              <w:bottom w:val="single" w:sz="4" w:space="0" w:color="000000"/>
              <w:right w:val="single" w:sz="4" w:space="0" w:color="000000"/>
            </w:tcBorders>
          </w:tcPr>
          <w:p w14:paraId="6578F1E2" w14:textId="77777777" w:rsidR="006B1A38" w:rsidRDefault="00473235" w:rsidP="00051658">
            <w:pPr>
              <w:pStyle w:val="TableParagraph"/>
              <w:widowControl/>
              <w:adjustRightInd w:val="0"/>
              <w:snapToGrid w:val="0"/>
              <w:rPr>
                <w:snapToGrid w:val="0"/>
                <w:sz w:val="20"/>
                <w:lang w:val="nb-NO"/>
              </w:rPr>
            </w:pPr>
            <w:r w:rsidRPr="003C63FB">
              <w:rPr>
                <w:snapToGrid w:val="0"/>
                <w:sz w:val="20"/>
                <w:lang w:val="nb-NO"/>
              </w:rPr>
              <w:t>Pulmonal</w:t>
            </w:r>
            <w:r w:rsidR="00A1548D" w:rsidRPr="003C63FB">
              <w:rPr>
                <w:snapToGrid w:val="0"/>
                <w:sz w:val="20"/>
                <w:lang w:val="nb-NO"/>
              </w:rPr>
              <w:t xml:space="preserve"> </w:t>
            </w:r>
            <w:r w:rsidRPr="003C63FB">
              <w:rPr>
                <w:snapToGrid w:val="0"/>
                <w:sz w:val="20"/>
                <w:lang w:val="nb-NO"/>
              </w:rPr>
              <w:t>blødning/</w:t>
            </w:r>
            <w:r w:rsidR="00BF1C93" w:rsidRPr="003C63FB">
              <w:rPr>
                <w:snapToGrid w:val="0"/>
                <w:sz w:val="20"/>
                <w:lang w:val="nb-NO"/>
              </w:rPr>
              <w:t xml:space="preserve"> </w:t>
            </w:r>
            <w:r w:rsidR="00D92BDD" w:rsidRPr="003C63FB">
              <w:rPr>
                <w:snapToGrid w:val="0"/>
                <w:sz w:val="20"/>
                <w:lang w:val="nb-NO"/>
              </w:rPr>
              <w:t>h</w:t>
            </w:r>
            <w:r w:rsidRPr="003C63FB">
              <w:rPr>
                <w:snapToGrid w:val="0"/>
                <w:sz w:val="20"/>
                <w:lang w:val="nb-NO"/>
              </w:rPr>
              <w:t>æmo</w:t>
            </w:r>
            <w:r w:rsidR="004B3750" w:rsidRPr="003C63FB">
              <w:rPr>
                <w:snapToGrid w:val="0"/>
                <w:sz w:val="20"/>
                <w:lang w:val="nb-NO"/>
              </w:rPr>
              <w:noBreakHyphen/>
            </w:r>
          </w:p>
          <w:p w14:paraId="3FEE3901" w14:textId="072D072D" w:rsidR="00A1548D" w:rsidRDefault="00473235" w:rsidP="00051658">
            <w:pPr>
              <w:pStyle w:val="TableParagraph"/>
              <w:widowControl/>
              <w:adjustRightInd w:val="0"/>
              <w:snapToGrid w:val="0"/>
              <w:rPr>
                <w:snapToGrid w:val="0"/>
                <w:sz w:val="20"/>
                <w:lang w:val="da-DK"/>
              </w:rPr>
            </w:pPr>
            <w:r w:rsidRPr="003C63FB">
              <w:rPr>
                <w:snapToGrid w:val="0"/>
                <w:sz w:val="20"/>
                <w:lang w:val="nb-NO"/>
              </w:rPr>
              <w:t>ptyse</w:t>
            </w:r>
            <w:r w:rsidRPr="003C63FB">
              <w:rPr>
                <w:snapToGrid w:val="0"/>
                <w:sz w:val="20"/>
                <w:vertAlign w:val="superscript"/>
                <w:lang w:val="nb-NO"/>
              </w:rPr>
              <w:t>b,d</w:t>
            </w:r>
            <w:r w:rsidR="00D92BDD" w:rsidRPr="003C63FB">
              <w:rPr>
                <w:snapToGrid w:val="0"/>
                <w:sz w:val="20"/>
                <w:lang w:val="nb-NO"/>
              </w:rPr>
              <w:t xml:space="preserve">, </w:t>
            </w:r>
            <w:r w:rsidR="00D92BDD">
              <w:rPr>
                <w:snapToGrid w:val="0"/>
                <w:sz w:val="20"/>
                <w:lang w:val="da-DK"/>
              </w:rPr>
              <w:t>l</w:t>
            </w:r>
            <w:r w:rsidRPr="001278B6">
              <w:rPr>
                <w:snapToGrid w:val="0"/>
                <w:sz w:val="20"/>
                <w:lang w:val="da-DK"/>
              </w:rPr>
              <w:t>ungeemboli</w:t>
            </w:r>
            <w:r w:rsidR="00D92BDD">
              <w:rPr>
                <w:snapToGrid w:val="0"/>
                <w:sz w:val="20"/>
                <w:lang w:val="da-DK"/>
              </w:rPr>
              <w:t>,</w:t>
            </w:r>
            <w:r w:rsidRPr="001278B6">
              <w:rPr>
                <w:snapToGrid w:val="0"/>
                <w:sz w:val="20"/>
                <w:lang w:val="da-DK"/>
              </w:rPr>
              <w:t xml:space="preserve"> </w:t>
            </w:r>
            <w:r w:rsidR="00D92BDD">
              <w:rPr>
                <w:snapToGrid w:val="0"/>
                <w:sz w:val="20"/>
                <w:lang w:val="da-DK"/>
              </w:rPr>
              <w:t>h</w:t>
            </w:r>
            <w:r w:rsidRPr="001278B6">
              <w:rPr>
                <w:snapToGrid w:val="0"/>
                <w:sz w:val="20"/>
                <w:lang w:val="da-DK"/>
              </w:rPr>
              <w:t>ypoksi</w:t>
            </w:r>
            <w:r w:rsidR="00D92BDD">
              <w:rPr>
                <w:snapToGrid w:val="0"/>
                <w:sz w:val="20"/>
                <w:lang w:val="da-DK"/>
              </w:rPr>
              <w:t>,</w:t>
            </w:r>
            <w:r w:rsidRPr="001278B6">
              <w:rPr>
                <w:snapToGrid w:val="0"/>
                <w:sz w:val="20"/>
                <w:lang w:val="da-DK"/>
              </w:rPr>
              <w:t xml:space="preserve"> </w:t>
            </w:r>
          </w:p>
          <w:p w14:paraId="310DBB7F" w14:textId="32805DB0" w:rsidR="003563EF" w:rsidRPr="001278B6" w:rsidRDefault="00D92BDD" w:rsidP="00051658">
            <w:pPr>
              <w:pStyle w:val="TableParagraph"/>
              <w:widowControl/>
              <w:adjustRightInd w:val="0"/>
              <w:snapToGrid w:val="0"/>
              <w:rPr>
                <w:snapToGrid w:val="0"/>
                <w:sz w:val="20"/>
                <w:lang w:val="da-DK"/>
              </w:rPr>
            </w:pPr>
            <w:r>
              <w:rPr>
                <w:snapToGrid w:val="0"/>
                <w:sz w:val="20"/>
                <w:lang w:val="da-DK"/>
              </w:rPr>
              <w:t>d</w:t>
            </w:r>
            <w:r w:rsidR="00473235" w:rsidRPr="001278B6">
              <w:rPr>
                <w:snapToGrid w:val="0"/>
                <w:sz w:val="20"/>
                <w:lang w:val="da-DK"/>
              </w:rPr>
              <w:t>ysfoni</w:t>
            </w:r>
            <w:r w:rsidR="00473235" w:rsidRPr="001278B6">
              <w:rPr>
                <w:snapToGrid w:val="0"/>
                <w:sz w:val="20"/>
                <w:vertAlign w:val="superscript"/>
                <w:lang w:val="da-DK"/>
              </w:rPr>
              <w:t>a</w:t>
            </w:r>
          </w:p>
        </w:tc>
        <w:tc>
          <w:tcPr>
            <w:tcW w:w="1302" w:type="dxa"/>
            <w:tcBorders>
              <w:top w:val="single" w:sz="4" w:space="0" w:color="000000"/>
              <w:left w:val="single" w:sz="4" w:space="0" w:color="000000"/>
              <w:bottom w:val="single" w:sz="4" w:space="0" w:color="000000"/>
              <w:right w:val="single" w:sz="4" w:space="0" w:color="000000"/>
            </w:tcBorders>
          </w:tcPr>
          <w:p w14:paraId="76DED2B2"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D45F584"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FE8B6B9"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7DB6B504" w14:textId="5C6B6A09"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Pulmonal</w:t>
            </w:r>
            <w:r w:rsidR="00A03FE9">
              <w:rPr>
                <w:snapToGrid w:val="0"/>
                <w:sz w:val="20"/>
                <w:lang w:val="da-DK"/>
              </w:rPr>
              <w:t xml:space="preserve"> </w:t>
            </w:r>
            <w:r w:rsidRPr="001278B6">
              <w:rPr>
                <w:snapToGrid w:val="0"/>
                <w:sz w:val="20"/>
                <w:lang w:val="da-DK"/>
              </w:rPr>
              <w:t>hypertension</w:t>
            </w:r>
            <w:r w:rsidRPr="001278B6">
              <w:rPr>
                <w:snapToGrid w:val="0"/>
                <w:sz w:val="20"/>
                <w:vertAlign w:val="superscript"/>
                <w:lang w:val="da-DK"/>
              </w:rPr>
              <w:t>a</w:t>
            </w:r>
            <w:r w:rsidRPr="001278B6">
              <w:rPr>
                <w:snapToGrid w:val="0"/>
                <w:sz w:val="20"/>
                <w:lang w:val="da-DK"/>
              </w:rPr>
              <w:t xml:space="preserve"> </w:t>
            </w:r>
            <w:r w:rsidR="00D92BDD">
              <w:rPr>
                <w:snapToGrid w:val="0"/>
                <w:sz w:val="20"/>
                <w:lang w:val="da-DK"/>
              </w:rPr>
              <w:t>n</w:t>
            </w:r>
            <w:r w:rsidRPr="001278B6">
              <w:rPr>
                <w:snapToGrid w:val="0"/>
                <w:sz w:val="20"/>
                <w:lang w:val="da-DK"/>
              </w:rPr>
              <w:t>æse</w:t>
            </w:r>
            <w:r w:rsidR="004B3750">
              <w:rPr>
                <w:snapToGrid w:val="0"/>
                <w:sz w:val="20"/>
                <w:lang w:val="da-DK"/>
              </w:rPr>
              <w:noBreakHyphen/>
            </w:r>
            <w:r w:rsidRPr="001278B6">
              <w:rPr>
                <w:snapToGrid w:val="0"/>
                <w:sz w:val="20"/>
                <w:lang w:val="da-DK"/>
              </w:rPr>
              <w:t>septum</w:t>
            </w:r>
            <w:r w:rsidR="004B3750">
              <w:rPr>
                <w:snapToGrid w:val="0"/>
                <w:sz w:val="20"/>
                <w:lang w:val="da-DK"/>
              </w:rPr>
              <w:noBreakHyphen/>
            </w:r>
            <w:r w:rsidRPr="001278B6">
              <w:rPr>
                <w:snapToGrid w:val="0"/>
                <w:sz w:val="20"/>
                <w:lang w:val="da-DK"/>
              </w:rPr>
              <w:t>perforation</w:t>
            </w:r>
            <w:r w:rsidRPr="001278B6">
              <w:rPr>
                <w:snapToGrid w:val="0"/>
                <w:sz w:val="20"/>
                <w:vertAlign w:val="superscript"/>
                <w:lang w:val="da-DK"/>
              </w:rPr>
              <w:t>a</w:t>
            </w:r>
          </w:p>
        </w:tc>
      </w:tr>
      <w:tr w:rsidR="008E4C56" w:rsidRPr="005476B6" w14:paraId="30CE4CAE" w14:textId="77777777" w:rsidTr="00051658">
        <w:trPr>
          <w:cantSplit/>
        </w:trPr>
        <w:tc>
          <w:tcPr>
            <w:tcW w:w="1302" w:type="dxa"/>
            <w:tcBorders>
              <w:top w:val="single" w:sz="4" w:space="0" w:color="000000"/>
              <w:bottom w:val="single" w:sz="4" w:space="0" w:color="000000"/>
              <w:right w:val="single" w:sz="4" w:space="0" w:color="000000"/>
            </w:tcBorders>
          </w:tcPr>
          <w:p w14:paraId="13835794"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lastRenderedPageBreak/>
              <w:t>Mave</w:t>
            </w:r>
            <w:r w:rsidR="004B3750">
              <w:rPr>
                <w:snapToGrid w:val="0"/>
                <w:sz w:val="20"/>
                <w:lang w:val="da-DK"/>
              </w:rPr>
              <w:noBreakHyphen/>
            </w:r>
            <w:r w:rsidRPr="001278B6">
              <w:rPr>
                <w:snapToGrid w:val="0"/>
                <w:sz w:val="20"/>
                <w:lang w:val="da-DK"/>
              </w:rPr>
              <w:t>tarm</w:t>
            </w:r>
            <w:r w:rsidR="004B3750">
              <w:rPr>
                <w:snapToGrid w:val="0"/>
                <w:sz w:val="20"/>
                <w:lang w:val="da-DK"/>
              </w:rPr>
              <w:noBreakHyphen/>
            </w:r>
            <w:r w:rsidRPr="001278B6">
              <w:rPr>
                <w:snapToGrid w:val="0"/>
                <w:sz w:val="20"/>
                <w:lang w:val="da-DK"/>
              </w:rPr>
              <w:t>kanalen</w:t>
            </w:r>
          </w:p>
        </w:tc>
        <w:tc>
          <w:tcPr>
            <w:tcW w:w="1302" w:type="dxa"/>
            <w:tcBorders>
              <w:top w:val="single" w:sz="4" w:space="0" w:color="000000"/>
              <w:left w:val="single" w:sz="4" w:space="0" w:color="000000"/>
              <w:bottom w:val="single" w:sz="4" w:space="0" w:color="000000"/>
              <w:right w:val="single" w:sz="4" w:space="0" w:color="000000"/>
            </w:tcBorders>
          </w:tcPr>
          <w:p w14:paraId="7C6607DE" w14:textId="77777777" w:rsidR="006B1A38" w:rsidRDefault="00473235" w:rsidP="00051658">
            <w:pPr>
              <w:pStyle w:val="TableParagraph"/>
              <w:widowControl/>
              <w:adjustRightInd w:val="0"/>
              <w:snapToGrid w:val="0"/>
              <w:rPr>
                <w:snapToGrid w:val="0"/>
                <w:sz w:val="20"/>
                <w:lang w:val="da-DK"/>
              </w:rPr>
            </w:pPr>
            <w:r w:rsidRPr="001278B6">
              <w:rPr>
                <w:snapToGrid w:val="0"/>
                <w:sz w:val="20"/>
                <w:lang w:val="da-DK"/>
              </w:rPr>
              <w:t>Rektal</w:t>
            </w:r>
            <w:r w:rsidR="004B3750">
              <w:rPr>
                <w:snapToGrid w:val="0"/>
                <w:sz w:val="20"/>
                <w:lang w:val="da-DK"/>
              </w:rPr>
              <w:noBreakHyphen/>
            </w:r>
          </w:p>
          <w:p w14:paraId="30C38B74" w14:textId="4FF4C63E" w:rsidR="00785745" w:rsidRDefault="00473235" w:rsidP="00051658">
            <w:pPr>
              <w:pStyle w:val="TableParagraph"/>
              <w:widowControl/>
              <w:adjustRightInd w:val="0"/>
              <w:snapToGrid w:val="0"/>
              <w:rPr>
                <w:snapToGrid w:val="0"/>
                <w:sz w:val="20"/>
                <w:lang w:val="da-DK"/>
              </w:rPr>
            </w:pPr>
            <w:r w:rsidRPr="001278B6">
              <w:rPr>
                <w:snapToGrid w:val="0"/>
                <w:sz w:val="20"/>
                <w:lang w:val="da-DK"/>
              </w:rPr>
              <w:t>blødning</w:t>
            </w:r>
            <w:r w:rsidR="00D92BDD">
              <w:rPr>
                <w:snapToGrid w:val="0"/>
                <w:sz w:val="20"/>
                <w:lang w:val="da-DK"/>
              </w:rPr>
              <w:t>,</w:t>
            </w:r>
            <w:r w:rsidRPr="001278B6">
              <w:rPr>
                <w:snapToGrid w:val="0"/>
                <w:sz w:val="20"/>
                <w:lang w:val="da-DK"/>
              </w:rPr>
              <w:t xml:space="preserve"> </w:t>
            </w:r>
          </w:p>
          <w:p w14:paraId="58C9ADF1" w14:textId="15DFE5AC" w:rsidR="00785745" w:rsidRDefault="00D92BDD"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tomatitis</w:t>
            </w:r>
            <w:r>
              <w:rPr>
                <w:snapToGrid w:val="0"/>
                <w:sz w:val="20"/>
                <w:lang w:val="da-DK"/>
              </w:rPr>
              <w:t>,</w:t>
            </w:r>
            <w:r w:rsidR="00473235" w:rsidRPr="001278B6">
              <w:rPr>
                <w:snapToGrid w:val="0"/>
                <w:sz w:val="20"/>
                <w:lang w:val="da-DK"/>
              </w:rPr>
              <w:t xml:space="preserve"> </w:t>
            </w:r>
          </w:p>
          <w:p w14:paraId="4C22D75C" w14:textId="497AA9B0" w:rsidR="00785745" w:rsidRDefault="00D92BDD" w:rsidP="00051658">
            <w:pPr>
              <w:pStyle w:val="TableParagraph"/>
              <w:widowControl/>
              <w:adjustRightInd w:val="0"/>
              <w:snapToGrid w:val="0"/>
              <w:rPr>
                <w:snapToGrid w:val="0"/>
                <w:sz w:val="20"/>
                <w:lang w:val="da-DK"/>
              </w:rPr>
            </w:pPr>
            <w:r>
              <w:rPr>
                <w:snapToGrid w:val="0"/>
                <w:sz w:val="20"/>
                <w:lang w:val="da-DK"/>
              </w:rPr>
              <w:t>o</w:t>
            </w:r>
            <w:r w:rsidR="00473235" w:rsidRPr="001278B6">
              <w:rPr>
                <w:snapToGrid w:val="0"/>
                <w:sz w:val="20"/>
                <w:lang w:val="da-DK"/>
              </w:rPr>
              <w:t>bstipation</w:t>
            </w:r>
            <w:r>
              <w:rPr>
                <w:snapToGrid w:val="0"/>
                <w:sz w:val="20"/>
                <w:lang w:val="da-DK"/>
              </w:rPr>
              <w:t>,</w:t>
            </w:r>
            <w:r w:rsidR="00473235" w:rsidRPr="001278B6">
              <w:rPr>
                <w:snapToGrid w:val="0"/>
                <w:sz w:val="20"/>
                <w:lang w:val="da-DK"/>
              </w:rPr>
              <w:t xml:space="preserve"> </w:t>
            </w:r>
          </w:p>
          <w:p w14:paraId="6FACB1F8" w14:textId="01CC9EBE" w:rsidR="00A03FE9" w:rsidRDefault="00D92BDD" w:rsidP="00051658">
            <w:pPr>
              <w:pStyle w:val="TableParagraph"/>
              <w:widowControl/>
              <w:adjustRightInd w:val="0"/>
              <w:snapToGrid w:val="0"/>
              <w:rPr>
                <w:snapToGrid w:val="0"/>
                <w:sz w:val="20"/>
                <w:lang w:val="da-DK"/>
              </w:rPr>
            </w:pPr>
            <w:r>
              <w:rPr>
                <w:snapToGrid w:val="0"/>
                <w:sz w:val="20"/>
                <w:lang w:val="da-DK"/>
              </w:rPr>
              <w:t>d</w:t>
            </w:r>
            <w:r w:rsidR="00473235" w:rsidRPr="001278B6">
              <w:rPr>
                <w:snapToGrid w:val="0"/>
                <w:sz w:val="20"/>
                <w:lang w:val="da-DK"/>
              </w:rPr>
              <w:t>iarré</w:t>
            </w:r>
            <w:r>
              <w:rPr>
                <w:snapToGrid w:val="0"/>
                <w:sz w:val="20"/>
                <w:lang w:val="da-DK"/>
              </w:rPr>
              <w:t>,</w:t>
            </w:r>
            <w:r w:rsidR="00473235" w:rsidRPr="001278B6">
              <w:rPr>
                <w:snapToGrid w:val="0"/>
                <w:sz w:val="20"/>
                <w:lang w:val="da-DK"/>
              </w:rPr>
              <w:t xml:space="preserve"> </w:t>
            </w:r>
          </w:p>
          <w:p w14:paraId="4F347738" w14:textId="21F29A12" w:rsidR="00785745" w:rsidRDefault="00D92BDD" w:rsidP="00051658">
            <w:pPr>
              <w:pStyle w:val="TableParagraph"/>
              <w:widowControl/>
              <w:adjustRightInd w:val="0"/>
              <w:snapToGrid w:val="0"/>
              <w:rPr>
                <w:snapToGrid w:val="0"/>
                <w:sz w:val="20"/>
                <w:lang w:val="da-DK"/>
              </w:rPr>
            </w:pPr>
            <w:r>
              <w:rPr>
                <w:snapToGrid w:val="0"/>
                <w:sz w:val="20"/>
                <w:lang w:val="da-DK"/>
              </w:rPr>
              <w:t>k</w:t>
            </w:r>
            <w:r w:rsidR="00473235" w:rsidRPr="001278B6">
              <w:rPr>
                <w:snapToGrid w:val="0"/>
                <w:sz w:val="20"/>
                <w:lang w:val="da-DK"/>
              </w:rPr>
              <w:t>valme</w:t>
            </w:r>
            <w:r>
              <w:rPr>
                <w:snapToGrid w:val="0"/>
                <w:sz w:val="20"/>
                <w:lang w:val="da-DK"/>
              </w:rPr>
              <w:t>,</w:t>
            </w:r>
            <w:r w:rsidR="00473235" w:rsidRPr="001278B6">
              <w:rPr>
                <w:snapToGrid w:val="0"/>
                <w:sz w:val="20"/>
                <w:lang w:val="da-DK"/>
              </w:rPr>
              <w:t xml:space="preserve"> </w:t>
            </w:r>
          </w:p>
          <w:p w14:paraId="2ACE9090" w14:textId="730D5D1C" w:rsidR="00785745" w:rsidRDefault="00D92BDD" w:rsidP="00051658">
            <w:pPr>
              <w:pStyle w:val="TableParagraph"/>
              <w:widowControl/>
              <w:adjustRightInd w:val="0"/>
              <w:snapToGrid w:val="0"/>
              <w:rPr>
                <w:snapToGrid w:val="0"/>
                <w:sz w:val="20"/>
                <w:lang w:val="da-DK"/>
              </w:rPr>
            </w:pPr>
            <w:r>
              <w:rPr>
                <w:snapToGrid w:val="0"/>
                <w:sz w:val="20"/>
                <w:lang w:val="da-DK"/>
              </w:rPr>
              <w:t>o</w:t>
            </w:r>
            <w:r w:rsidR="00473235" w:rsidRPr="001278B6">
              <w:rPr>
                <w:snapToGrid w:val="0"/>
                <w:sz w:val="20"/>
                <w:lang w:val="da-DK"/>
              </w:rPr>
              <w:t>pkastning</w:t>
            </w:r>
            <w:r>
              <w:rPr>
                <w:snapToGrid w:val="0"/>
                <w:sz w:val="20"/>
                <w:lang w:val="da-DK"/>
              </w:rPr>
              <w:t>,</w:t>
            </w:r>
            <w:r w:rsidR="00473235" w:rsidRPr="001278B6">
              <w:rPr>
                <w:snapToGrid w:val="0"/>
                <w:sz w:val="20"/>
                <w:lang w:val="da-DK"/>
              </w:rPr>
              <w:t xml:space="preserve"> </w:t>
            </w:r>
          </w:p>
          <w:p w14:paraId="518CA965" w14:textId="126C34F4" w:rsidR="003563EF" w:rsidRPr="001278B6" w:rsidRDefault="00D92BDD" w:rsidP="00051658">
            <w:pPr>
              <w:pStyle w:val="TableParagraph"/>
              <w:widowControl/>
              <w:adjustRightInd w:val="0"/>
              <w:snapToGrid w:val="0"/>
              <w:rPr>
                <w:snapToGrid w:val="0"/>
                <w:sz w:val="20"/>
                <w:lang w:val="da-DK"/>
              </w:rPr>
            </w:pPr>
            <w:r>
              <w:rPr>
                <w:snapToGrid w:val="0"/>
                <w:sz w:val="20"/>
                <w:lang w:val="da-DK"/>
              </w:rPr>
              <w:t>a</w:t>
            </w:r>
            <w:r w:rsidR="00473235" w:rsidRPr="001278B6">
              <w:rPr>
                <w:snapToGrid w:val="0"/>
                <w:sz w:val="20"/>
                <w:lang w:val="da-DK"/>
              </w:rPr>
              <w:t>bdominal</w:t>
            </w:r>
            <w:r w:rsidR="00AB0901">
              <w:rPr>
                <w:snapToGrid w:val="0"/>
                <w:sz w:val="20"/>
                <w:lang w:val="da-DK"/>
              </w:rPr>
              <w:t xml:space="preserve"> </w:t>
            </w:r>
            <w:r w:rsidR="00473235" w:rsidRPr="001278B6">
              <w:rPr>
                <w:snapToGrid w:val="0"/>
                <w:sz w:val="20"/>
                <w:lang w:val="da-DK"/>
              </w:rPr>
              <w:t>smerter</w:t>
            </w:r>
          </w:p>
        </w:tc>
        <w:tc>
          <w:tcPr>
            <w:tcW w:w="1302" w:type="dxa"/>
            <w:tcBorders>
              <w:top w:val="single" w:sz="4" w:space="0" w:color="000000"/>
              <w:left w:val="single" w:sz="4" w:space="0" w:color="000000"/>
              <w:bottom w:val="single" w:sz="4" w:space="0" w:color="000000"/>
              <w:right w:val="single" w:sz="4" w:space="0" w:color="000000"/>
            </w:tcBorders>
          </w:tcPr>
          <w:p w14:paraId="34DCF37A" w14:textId="77777777" w:rsidR="006B1A38" w:rsidRDefault="00473235" w:rsidP="00051658">
            <w:pPr>
              <w:pStyle w:val="TableParagraph"/>
              <w:widowControl/>
              <w:adjustRightInd w:val="0"/>
              <w:snapToGrid w:val="0"/>
              <w:rPr>
                <w:snapToGrid w:val="0"/>
                <w:sz w:val="20"/>
                <w:lang w:val="da-DK"/>
              </w:rPr>
            </w:pPr>
            <w:r w:rsidRPr="001278B6">
              <w:rPr>
                <w:snapToGrid w:val="0"/>
                <w:sz w:val="20"/>
                <w:lang w:val="da-DK"/>
              </w:rPr>
              <w:t>Gastrointes</w:t>
            </w:r>
            <w:r w:rsidR="004B3750">
              <w:rPr>
                <w:snapToGrid w:val="0"/>
                <w:sz w:val="20"/>
                <w:lang w:val="da-DK"/>
              </w:rPr>
              <w:noBreakHyphen/>
            </w:r>
          </w:p>
          <w:p w14:paraId="15A110C9" w14:textId="6FB604A4" w:rsidR="00BF1C93" w:rsidRDefault="00473235" w:rsidP="00051658">
            <w:pPr>
              <w:pStyle w:val="TableParagraph"/>
              <w:widowControl/>
              <w:adjustRightInd w:val="0"/>
              <w:snapToGrid w:val="0"/>
              <w:rPr>
                <w:snapToGrid w:val="0"/>
                <w:sz w:val="20"/>
                <w:lang w:val="da-DK"/>
              </w:rPr>
            </w:pPr>
            <w:r w:rsidRPr="001278B6">
              <w:rPr>
                <w:snapToGrid w:val="0"/>
                <w:sz w:val="20"/>
                <w:lang w:val="da-DK"/>
              </w:rPr>
              <w:t>tinal perforation</w:t>
            </w:r>
            <w:r w:rsidRPr="001278B6">
              <w:rPr>
                <w:snapToGrid w:val="0"/>
                <w:sz w:val="20"/>
                <w:vertAlign w:val="superscript"/>
                <w:lang w:val="da-DK"/>
              </w:rPr>
              <w:t>b,d</w:t>
            </w:r>
            <w:r w:rsidR="00D92BDD" w:rsidRPr="00F466A3">
              <w:rPr>
                <w:snapToGrid w:val="0"/>
                <w:sz w:val="20"/>
                <w:lang w:val="da-DK"/>
              </w:rPr>
              <w:t>,</w:t>
            </w:r>
            <w:r w:rsidR="00D92BDD">
              <w:rPr>
                <w:snapToGrid w:val="0"/>
                <w:sz w:val="20"/>
                <w:lang w:val="da-DK"/>
              </w:rPr>
              <w:t xml:space="preserve"> i</w:t>
            </w:r>
            <w:r w:rsidRPr="001278B6">
              <w:rPr>
                <w:snapToGrid w:val="0"/>
                <w:sz w:val="20"/>
                <w:lang w:val="da-DK"/>
              </w:rPr>
              <w:t>ntestinal perforation</w:t>
            </w:r>
            <w:r w:rsidR="00D92BDD">
              <w:rPr>
                <w:snapToGrid w:val="0"/>
                <w:sz w:val="20"/>
                <w:lang w:val="da-DK"/>
              </w:rPr>
              <w:t>,</w:t>
            </w:r>
            <w:r w:rsidRPr="001278B6">
              <w:rPr>
                <w:snapToGrid w:val="0"/>
                <w:sz w:val="20"/>
                <w:lang w:val="da-DK"/>
              </w:rPr>
              <w:t xml:space="preserve"> </w:t>
            </w:r>
          </w:p>
          <w:p w14:paraId="5F0DA232" w14:textId="60AA0292" w:rsidR="001170A4" w:rsidRDefault="00D92BDD"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leus</w:t>
            </w:r>
            <w:r>
              <w:rPr>
                <w:snapToGrid w:val="0"/>
                <w:sz w:val="20"/>
                <w:lang w:val="da-DK"/>
              </w:rPr>
              <w:t>,</w:t>
            </w:r>
            <w:r w:rsidR="00473235" w:rsidRPr="001278B6">
              <w:rPr>
                <w:snapToGrid w:val="0"/>
                <w:sz w:val="20"/>
                <w:lang w:val="da-DK"/>
              </w:rPr>
              <w:t xml:space="preserve"> </w:t>
            </w:r>
          </w:p>
          <w:p w14:paraId="29143454" w14:textId="75317C85" w:rsidR="00BF1C93" w:rsidRDefault="00D92BDD"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ntestinal obstruktion</w:t>
            </w:r>
            <w:r>
              <w:rPr>
                <w:snapToGrid w:val="0"/>
                <w:sz w:val="20"/>
                <w:lang w:val="da-DK"/>
              </w:rPr>
              <w:t>,</w:t>
            </w:r>
            <w:r w:rsidR="00473235" w:rsidRPr="001278B6">
              <w:rPr>
                <w:snapToGrid w:val="0"/>
                <w:sz w:val="20"/>
                <w:lang w:val="da-DK"/>
              </w:rPr>
              <w:t xml:space="preserve"> </w:t>
            </w:r>
          </w:p>
          <w:p w14:paraId="07283E08" w14:textId="65E09F61" w:rsidR="0088407C" w:rsidRDefault="00D92BDD" w:rsidP="00051658">
            <w:pPr>
              <w:pStyle w:val="TableParagraph"/>
              <w:widowControl/>
              <w:adjustRightInd w:val="0"/>
              <w:snapToGrid w:val="0"/>
              <w:rPr>
                <w:snapToGrid w:val="0"/>
                <w:sz w:val="20"/>
                <w:lang w:val="da-DK"/>
              </w:rPr>
            </w:pPr>
            <w:r>
              <w:rPr>
                <w:snapToGrid w:val="0"/>
                <w:sz w:val="20"/>
                <w:lang w:val="da-DK"/>
              </w:rPr>
              <w:t>r</w:t>
            </w:r>
            <w:r w:rsidR="00473235" w:rsidRPr="001278B6">
              <w:rPr>
                <w:snapToGrid w:val="0"/>
                <w:sz w:val="20"/>
                <w:lang w:val="da-DK"/>
              </w:rPr>
              <w:t>ektovaginale fistler</w:t>
            </w:r>
            <w:r w:rsidR="00473235" w:rsidRPr="001278B6">
              <w:rPr>
                <w:snapToGrid w:val="0"/>
                <w:sz w:val="20"/>
                <w:vertAlign w:val="superscript"/>
                <w:lang w:val="da-DK"/>
              </w:rPr>
              <w:t>d,e</w:t>
            </w:r>
            <w:r>
              <w:rPr>
                <w:snapToGrid w:val="0"/>
                <w:sz w:val="20"/>
                <w:lang w:val="da-DK"/>
              </w:rPr>
              <w:t>,</w:t>
            </w:r>
          </w:p>
          <w:p w14:paraId="575B899B" w14:textId="77777777" w:rsidR="006B1A38" w:rsidRDefault="00D92BDD" w:rsidP="00051658">
            <w:pPr>
              <w:pStyle w:val="TableParagraph"/>
              <w:widowControl/>
              <w:adjustRightInd w:val="0"/>
              <w:snapToGrid w:val="0"/>
              <w:rPr>
                <w:snapToGrid w:val="0"/>
                <w:sz w:val="20"/>
                <w:lang w:val="da-DK"/>
              </w:rPr>
            </w:pPr>
            <w:r>
              <w:rPr>
                <w:snapToGrid w:val="0"/>
                <w:sz w:val="20"/>
                <w:lang w:val="da-DK"/>
              </w:rPr>
              <w:t>g</w:t>
            </w:r>
            <w:r w:rsidR="00473235" w:rsidRPr="001278B6">
              <w:rPr>
                <w:snapToGrid w:val="0"/>
                <w:sz w:val="20"/>
                <w:lang w:val="da-DK"/>
              </w:rPr>
              <w:t>astro</w:t>
            </w:r>
            <w:r w:rsidR="004B3750">
              <w:rPr>
                <w:snapToGrid w:val="0"/>
                <w:sz w:val="20"/>
                <w:lang w:val="da-DK"/>
              </w:rPr>
              <w:noBreakHyphen/>
            </w:r>
          </w:p>
          <w:p w14:paraId="2DE05F45" w14:textId="22454B03" w:rsidR="001170A4" w:rsidRDefault="00473235" w:rsidP="00051658">
            <w:pPr>
              <w:pStyle w:val="TableParagraph"/>
              <w:widowControl/>
              <w:adjustRightInd w:val="0"/>
              <w:snapToGrid w:val="0"/>
              <w:rPr>
                <w:snapToGrid w:val="0"/>
                <w:sz w:val="20"/>
                <w:lang w:val="da-DK"/>
              </w:rPr>
            </w:pPr>
            <w:r w:rsidRPr="001278B6">
              <w:rPr>
                <w:snapToGrid w:val="0"/>
                <w:sz w:val="20"/>
                <w:lang w:val="da-DK"/>
              </w:rPr>
              <w:t>intestinale forstyrrelser</w:t>
            </w:r>
            <w:r w:rsidR="00D92BDD">
              <w:rPr>
                <w:snapToGrid w:val="0"/>
                <w:sz w:val="20"/>
                <w:lang w:val="da-DK"/>
              </w:rPr>
              <w:t>,</w:t>
            </w:r>
          </w:p>
          <w:p w14:paraId="13B3B3E9" w14:textId="18A70DD7" w:rsidR="003563EF" w:rsidRPr="001278B6" w:rsidRDefault="00D92BDD" w:rsidP="00051658">
            <w:pPr>
              <w:pStyle w:val="TableParagraph"/>
              <w:widowControl/>
              <w:adjustRightInd w:val="0"/>
              <w:snapToGrid w:val="0"/>
              <w:rPr>
                <w:snapToGrid w:val="0"/>
                <w:sz w:val="20"/>
                <w:lang w:val="da-DK"/>
              </w:rPr>
            </w:pPr>
            <w:r>
              <w:rPr>
                <w:snapToGrid w:val="0"/>
                <w:sz w:val="20"/>
                <w:lang w:val="da-DK"/>
              </w:rPr>
              <w:t>p</w:t>
            </w:r>
            <w:r w:rsidR="00473235" w:rsidRPr="001278B6">
              <w:rPr>
                <w:snapToGrid w:val="0"/>
                <w:sz w:val="20"/>
                <w:lang w:val="da-DK"/>
              </w:rPr>
              <w:t>roktalgi</w:t>
            </w:r>
          </w:p>
        </w:tc>
        <w:tc>
          <w:tcPr>
            <w:tcW w:w="1302" w:type="dxa"/>
            <w:tcBorders>
              <w:top w:val="single" w:sz="4" w:space="0" w:color="000000"/>
              <w:left w:val="single" w:sz="4" w:space="0" w:color="000000"/>
              <w:bottom w:val="single" w:sz="4" w:space="0" w:color="000000"/>
              <w:right w:val="single" w:sz="4" w:space="0" w:color="000000"/>
            </w:tcBorders>
          </w:tcPr>
          <w:p w14:paraId="70099CF3"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3BD71608"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4574FF35"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1966F738" w14:textId="77777777" w:rsidR="006B1A38" w:rsidRDefault="00473235" w:rsidP="00051658">
            <w:pPr>
              <w:pStyle w:val="TableParagraph"/>
              <w:widowControl/>
              <w:adjustRightInd w:val="0"/>
              <w:snapToGrid w:val="0"/>
              <w:rPr>
                <w:snapToGrid w:val="0"/>
                <w:sz w:val="20"/>
                <w:lang w:val="da-DK"/>
              </w:rPr>
            </w:pPr>
            <w:r w:rsidRPr="001278B6">
              <w:rPr>
                <w:snapToGrid w:val="0"/>
                <w:sz w:val="20"/>
                <w:lang w:val="da-DK"/>
              </w:rPr>
              <w:t>Gastro</w:t>
            </w:r>
            <w:r w:rsidR="004B3750">
              <w:rPr>
                <w:snapToGrid w:val="0"/>
                <w:sz w:val="20"/>
                <w:lang w:val="da-DK"/>
              </w:rPr>
              <w:noBreakHyphen/>
            </w:r>
          </w:p>
          <w:p w14:paraId="346F66FA" w14:textId="001DFC5C"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intestinalt ulcus</w:t>
            </w:r>
            <w:r w:rsidRPr="001278B6">
              <w:rPr>
                <w:snapToGrid w:val="0"/>
                <w:sz w:val="20"/>
                <w:vertAlign w:val="superscript"/>
                <w:lang w:val="da-DK"/>
              </w:rPr>
              <w:t>a</w:t>
            </w:r>
          </w:p>
        </w:tc>
      </w:tr>
      <w:tr w:rsidR="008E4C56" w:rsidRPr="005476B6" w14:paraId="10C2B824" w14:textId="77777777" w:rsidTr="00051658">
        <w:trPr>
          <w:cantSplit/>
        </w:trPr>
        <w:tc>
          <w:tcPr>
            <w:tcW w:w="1302" w:type="dxa"/>
            <w:tcBorders>
              <w:top w:val="single" w:sz="4" w:space="0" w:color="000000"/>
              <w:bottom w:val="single" w:sz="4" w:space="0" w:color="000000"/>
              <w:right w:val="single" w:sz="4" w:space="0" w:color="000000"/>
            </w:tcBorders>
          </w:tcPr>
          <w:p w14:paraId="75606A1A"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 xml:space="preserve">Lever og </w:t>
            </w:r>
            <w:r w:rsidRPr="00FE4EF5">
              <w:rPr>
                <w:snapToGrid w:val="0"/>
                <w:sz w:val="20"/>
                <w:lang w:val="da-DK"/>
              </w:rPr>
              <w:t>galdeveje</w:t>
            </w:r>
          </w:p>
        </w:tc>
        <w:tc>
          <w:tcPr>
            <w:tcW w:w="1302" w:type="dxa"/>
            <w:tcBorders>
              <w:top w:val="single" w:sz="4" w:space="0" w:color="000000"/>
              <w:left w:val="single" w:sz="4" w:space="0" w:color="000000"/>
              <w:bottom w:val="single" w:sz="4" w:space="0" w:color="000000"/>
              <w:right w:val="single" w:sz="4" w:space="0" w:color="000000"/>
            </w:tcBorders>
          </w:tcPr>
          <w:p w14:paraId="0ED35ECF"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DE8EC4F"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4BBE8CFB"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83363CE"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1688C1E3"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right w:val="single" w:sz="4" w:space="0" w:color="000000"/>
            </w:tcBorders>
          </w:tcPr>
          <w:p w14:paraId="1782D219"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Galde</w:t>
            </w:r>
            <w:r w:rsidR="004B3750">
              <w:rPr>
                <w:snapToGrid w:val="0"/>
                <w:sz w:val="20"/>
                <w:lang w:val="da-DK"/>
              </w:rPr>
              <w:noBreakHyphen/>
            </w:r>
            <w:r w:rsidRPr="001278B6">
              <w:rPr>
                <w:snapToGrid w:val="0"/>
                <w:sz w:val="20"/>
                <w:lang w:val="da-DK"/>
              </w:rPr>
              <w:t>blære</w:t>
            </w:r>
            <w:r w:rsidR="004B3750">
              <w:rPr>
                <w:snapToGrid w:val="0"/>
                <w:sz w:val="20"/>
                <w:lang w:val="da-DK"/>
              </w:rPr>
              <w:noBreakHyphen/>
            </w:r>
            <w:r w:rsidRPr="001278B6">
              <w:rPr>
                <w:snapToGrid w:val="0"/>
                <w:sz w:val="20"/>
                <w:lang w:val="da-DK"/>
              </w:rPr>
              <w:t>perforation</w:t>
            </w:r>
            <w:r w:rsidRPr="001278B6">
              <w:rPr>
                <w:snapToGrid w:val="0"/>
                <w:sz w:val="20"/>
                <w:vertAlign w:val="superscript"/>
                <w:lang w:val="da-DK"/>
              </w:rPr>
              <w:t>a,b</w:t>
            </w:r>
          </w:p>
        </w:tc>
      </w:tr>
      <w:tr w:rsidR="008E4C56" w:rsidRPr="00AE7B75" w14:paraId="6233434C" w14:textId="77777777" w:rsidTr="00051658">
        <w:trPr>
          <w:cantSplit/>
        </w:trPr>
        <w:tc>
          <w:tcPr>
            <w:tcW w:w="1302" w:type="dxa"/>
            <w:tcBorders>
              <w:top w:val="single" w:sz="4" w:space="0" w:color="000000"/>
              <w:bottom w:val="single" w:sz="4" w:space="0" w:color="000000"/>
              <w:right w:val="single" w:sz="4" w:space="0" w:color="000000"/>
            </w:tcBorders>
          </w:tcPr>
          <w:p w14:paraId="191EF341"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Hud og subkutane væv</w:t>
            </w:r>
          </w:p>
        </w:tc>
        <w:tc>
          <w:tcPr>
            <w:tcW w:w="1302" w:type="dxa"/>
            <w:tcBorders>
              <w:top w:val="single" w:sz="4" w:space="0" w:color="000000"/>
              <w:left w:val="single" w:sz="4" w:space="0" w:color="000000"/>
              <w:bottom w:val="single" w:sz="4" w:space="0" w:color="000000"/>
              <w:right w:val="single" w:sz="4" w:space="0" w:color="000000"/>
            </w:tcBorders>
          </w:tcPr>
          <w:p w14:paraId="35D93BF0" w14:textId="77777777" w:rsidR="00AB0901" w:rsidRDefault="00473235" w:rsidP="00051658">
            <w:pPr>
              <w:pStyle w:val="TableParagraph"/>
              <w:widowControl/>
              <w:adjustRightInd w:val="0"/>
              <w:snapToGrid w:val="0"/>
              <w:rPr>
                <w:snapToGrid w:val="0"/>
                <w:sz w:val="20"/>
                <w:lang w:val="sv-SE"/>
              </w:rPr>
            </w:pPr>
            <w:r w:rsidRPr="00051658">
              <w:rPr>
                <w:snapToGrid w:val="0"/>
                <w:sz w:val="20"/>
                <w:lang w:val="sv-SE"/>
              </w:rPr>
              <w:t>Sårhelings</w:t>
            </w:r>
            <w:r w:rsidR="004B3750">
              <w:rPr>
                <w:snapToGrid w:val="0"/>
                <w:sz w:val="20"/>
                <w:lang w:val="sv-SE"/>
              </w:rPr>
              <w:noBreakHyphen/>
            </w:r>
          </w:p>
          <w:p w14:paraId="6780E321" w14:textId="77777777" w:rsidR="00AB0901" w:rsidRDefault="00473235" w:rsidP="00051658">
            <w:pPr>
              <w:pStyle w:val="TableParagraph"/>
              <w:widowControl/>
              <w:adjustRightInd w:val="0"/>
              <w:snapToGrid w:val="0"/>
              <w:rPr>
                <w:snapToGrid w:val="0"/>
                <w:sz w:val="20"/>
                <w:lang w:val="sv-SE"/>
              </w:rPr>
            </w:pPr>
            <w:r w:rsidRPr="00051658">
              <w:rPr>
                <w:snapToGrid w:val="0"/>
                <w:sz w:val="20"/>
                <w:lang w:val="sv-SE"/>
              </w:rPr>
              <w:t>komplika</w:t>
            </w:r>
            <w:r w:rsidR="004B3750">
              <w:rPr>
                <w:snapToGrid w:val="0"/>
                <w:sz w:val="20"/>
                <w:lang w:val="sv-SE"/>
              </w:rPr>
              <w:noBreakHyphen/>
            </w:r>
          </w:p>
          <w:p w14:paraId="2891266F" w14:textId="5F959E9A" w:rsidR="00A03FE9" w:rsidRPr="00051658" w:rsidRDefault="00473235" w:rsidP="00051658">
            <w:pPr>
              <w:pStyle w:val="TableParagraph"/>
              <w:widowControl/>
              <w:adjustRightInd w:val="0"/>
              <w:snapToGrid w:val="0"/>
              <w:rPr>
                <w:snapToGrid w:val="0"/>
                <w:sz w:val="20"/>
                <w:lang w:val="sv-SE"/>
              </w:rPr>
            </w:pPr>
            <w:r w:rsidRPr="00051658">
              <w:rPr>
                <w:snapToGrid w:val="0"/>
                <w:sz w:val="20"/>
                <w:lang w:val="sv-SE"/>
              </w:rPr>
              <w:t>tioner</w:t>
            </w:r>
            <w:r w:rsidRPr="00051658">
              <w:rPr>
                <w:snapToGrid w:val="0"/>
                <w:sz w:val="20"/>
                <w:vertAlign w:val="superscript"/>
                <w:lang w:val="sv-SE"/>
              </w:rPr>
              <w:t>b,d</w:t>
            </w:r>
            <w:r w:rsidR="00FE4EF5">
              <w:rPr>
                <w:snapToGrid w:val="0"/>
                <w:sz w:val="20"/>
                <w:lang w:val="sv-SE"/>
              </w:rPr>
              <w:t>, e</w:t>
            </w:r>
            <w:r w:rsidRPr="00051658">
              <w:rPr>
                <w:snapToGrid w:val="0"/>
                <w:sz w:val="20"/>
                <w:lang w:val="sv-SE"/>
              </w:rPr>
              <w:t>ksfoliativ dermatitis</w:t>
            </w:r>
            <w:r w:rsidR="00FE4EF5">
              <w:rPr>
                <w:snapToGrid w:val="0"/>
                <w:sz w:val="20"/>
                <w:lang w:val="sv-SE"/>
              </w:rPr>
              <w:t>,</w:t>
            </w:r>
            <w:r w:rsidRPr="00051658">
              <w:rPr>
                <w:snapToGrid w:val="0"/>
                <w:sz w:val="20"/>
                <w:lang w:val="sv-SE"/>
              </w:rPr>
              <w:t xml:space="preserve"> </w:t>
            </w:r>
          </w:p>
          <w:p w14:paraId="637C25AC" w14:textId="3234444B" w:rsidR="00914A91" w:rsidRDefault="00FE4EF5" w:rsidP="00051658">
            <w:pPr>
              <w:pStyle w:val="TableParagraph"/>
              <w:widowControl/>
              <w:adjustRightInd w:val="0"/>
              <w:snapToGrid w:val="0"/>
              <w:rPr>
                <w:snapToGrid w:val="0"/>
                <w:sz w:val="20"/>
                <w:lang w:val="da-DK"/>
              </w:rPr>
            </w:pPr>
            <w:r>
              <w:rPr>
                <w:snapToGrid w:val="0"/>
                <w:sz w:val="20"/>
                <w:lang w:val="da-DK"/>
              </w:rPr>
              <w:t>t</w:t>
            </w:r>
            <w:r w:rsidR="00473235" w:rsidRPr="001278B6">
              <w:rPr>
                <w:snapToGrid w:val="0"/>
                <w:sz w:val="20"/>
                <w:lang w:val="da-DK"/>
              </w:rPr>
              <w:t>ør hud</w:t>
            </w:r>
            <w:r>
              <w:rPr>
                <w:snapToGrid w:val="0"/>
                <w:sz w:val="20"/>
                <w:lang w:val="da-DK"/>
              </w:rPr>
              <w:t>,</w:t>
            </w:r>
          </w:p>
          <w:p w14:paraId="2CBE1DEA" w14:textId="1A2CC64B" w:rsidR="003563EF" w:rsidRPr="001278B6" w:rsidRDefault="00FE4EF5" w:rsidP="00051658">
            <w:pPr>
              <w:pStyle w:val="TableParagraph"/>
              <w:widowControl/>
              <w:adjustRightInd w:val="0"/>
              <w:snapToGrid w:val="0"/>
              <w:rPr>
                <w:snapToGrid w:val="0"/>
                <w:sz w:val="20"/>
                <w:lang w:val="da-DK"/>
              </w:rPr>
            </w:pPr>
            <w:r>
              <w:rPr>
                <w:snapToGrid w:val="0"/>
                <w:sz w:val="20"/>
                <w:lang w:val="da-DK"/>
              </w:rPr>
              <w:t>m</w:t>
            </w:r>
            <w:r w:rsidR="00473235" w:rsidRPr="001278B6">
              <w:rPr>
                <w:snapToGrid w:val="0"/>
                <w:sz w:val="20"/>
                <w:lang w:val="da-DK"/>
              </w:rPr>
              <w:t>isfarvet hud</w:t>
            </w:r>
          </w:p>
        </w:tc>
        <w:tc>
          <w:tcPr>
            <w:tcW w:w="1302" w:type="dxa"/>
            <w:tcBorders>
              <w:top w:val="single" w:sz="4" w:space="0" w:color="000000"/>
              <w:left w:val="single" w:sz="4" w:space="0" w:color="000000"/>
              <w:bottom w:val="single" w:sz="4" w:space="0" w:color="000000"/>
              <w:right w:val="single" w:sz="4" w:space="0" w:color="000000"/>
            </w:tcBorders>
          </w:tcPr>
          <w:p w14:paraId="5DF60C08" w14:textId="77777777" w:rsidR="00AB0901" w:rsidRDefault="00473235" w:rsidP="00051658">
            <w:pPr>
              <w:pStyle w:val="TableParagraph"/>
              <w:widowControl/>
              <w:adjustRightInd w:val="0"/>
              <w:snapToGrid w:val="0"/>
              <w:rPr>
                <w:snapToGrid w:val="0"/>
                <w:sz w:val="20"/>
                <w:lang w:val="sv-SE"/>
              </w:rPr>
            </w:pPr>
            <w:r w:rsidRPr="00051658">
              <w:rPr>
                <w:snapToGrid w:val="0"/>
                <w:sz w:val="20"/>
                <w:lang w:val="sv-SE"/>
              </w:rPr>
              <w:t>Palmo</w:t>
            </w:r>
            <w:r w:rsidR="004B3750">
              <w:rPr>
                <w:snapToGrid w:val="0"/>
                <w:sz w:val="20"/>
                <w:lang w:val="sv-SE"/>
              </w:rPr>
              <w:noBreakHyphen/>
            </w:r>
          </w:p>
          <w:p w14:paraId="6EA95C71" w14:textId="77777777" w:rsidR="006B1A38" w:rsidRDefault="00473235" w:rsidP="00051658">
            <w:pPr>
              <w:pStyle w:val="TableParagraph"/>
              <w:widowControl/>
              <w:adjustRightInd w:val="0"/>
              <w:snapToGrid w:val="0"/>
              <w:rPr>
                <w:snapToGrid w:val="0"/>
                <w:sz w:val="20"/>
                <w:lang w:val="sv-SE"/>
              </w:rPr>
            </w:pPr>
            <w:r w:rsidRPr="00051658">
              <w:rPr>
                <w:snapToGrid w:val="0"/>
                <w:sz w:val="20"/>
                <w:lang w:val="sv-SE"/>
              </w:rPr>
              <w:t>plantar erytro</w:t>
            </w:r>
            <w:r w:rsidR="004B3750">
              <w:rPr>
                <w:snapToGrid w:val="0"/>
                <w:sz w:val="20"/>
                <w:lang w:val="sv-SE"/>
              </w:rPr>
              <w:noBreakHyphen/>
            </w:r>
          </w:p>
          <w:p w14:paraId="35DF2E94" w14:textId="77777777" w:rsidR="006B1A38" w:rsidRDefault="00473235" w:rsidP="00051658">
            <w:pPr>
              <w:pStyle w:val="TableParagraph"/>
              <w:widowControl/>
              <w:adjustRightInd w:val="0"/>
              <w:snapToGrid w:val="0"/>
              <w:rPr>
                <w:snapToGrid w:val="0"/>
                <w:sz w:val="20"/>
                <w:lang w:val="sv-SE"/>
              </w:rPr>
            </w:pPr>
            <w:r w:rsidRPr="00051658">
              <w:rPr>
                <w:snapToGrid w:val="0"/>
                <w:sz w:val="20"/>
                <w:lang w:val="sv-SE"/>
              </w:rPr>
              <w:t>dysæstesi</w:t>
            </w:r>
            <w:r w:rsidR="004B3750">
              <w:rPr>
                <w:snapToGrid w:val="0"/>
                <w:sz w:val="20"/>
                <w:lang w:val="sv-SE"/>
              </w:rPr>
              <w:noBreakHyphen/>
            </w:r>
          </w:p>
          <w:p w14:paraId="148E591A" w14:textId="0ED5A9C9" w:rsidR="003563EF" w:rsidRPr="00051658" w:rsidRDefault="00473235" w:rsidP="00051658">
            <w:pPr>
              <w:pStyle w:val="TableParagraph"/>
              <w:widowControl/>
              <w:adjustRightInd w:val="0"/>
              <w:snapToGrid w:val="0"/>
              <w:rPr>
                <w:snapToGrid w:val="0"/>
                <w:sz w:val="20"/>
                <w:lang w:val="sv-SE"/>
              </w:rPr>
            </w:pPr>
            <w:r w:rsidRPr="00051658">
              <w:rPr>
                <w:snapToGrid w:val="0"/>
                <w:sz w:val="20"/>
                <w:lang w:val="sv-SE"/>
              </w:rPr>
              <w:t>syndrom</w:t>
            </w:r>
          </w:p>
        </w:tc>
        <w:tc>
          <w:tcPr>
            <w:tcW w:w="1302" w:type="dxa"/>
            <w:tcBorders>
              <w:top w:val="single" w:sz="4" w:space="0" w:color="000000"/>
              <w:left w:val="single" w:sz="4" w:space="0" w:color="000000"/>
              <w:bottom w:val="single" w:sz="4" w:space="0" w:color="000000"/>
              <w:right w:val="single" w:sz="4" w:space="0" w:color="000000"/>
            </w:tcBorders>
          </w:tcPr>
          <w:p w14:paraId="33FCEBAD" w14:textId="77777777" w:rsidR="003563EF" w:rsidRPr="00051658" w:rsidRDefault="003563EF" w:rsidP="003C1C0B">
            <w:pPr>
              <w:pStyle w:val="TableParagraph"/>
              <w:widowControl/>
              <w:adjustRightInd w:val="0"/>
              <w:snapToGrid w:val="0"/>
              <w:rPr>
                <w:snapToGrid w:val="0"/>
                <w:sz w:val="20"/>
                <w:lang w:val="sv-SE"/>
              </w:rPr>
            </w:pPr>
          </w:p>
        </w:tc>
        <w:tc>
          <w:tcPr>
            <w:tcW w:w="1302" w:type="dxa"/>
            <w:tcBorders>
              <w:top w:val="single" w:sz="4" w:space="0" w:color="000000"/>
              <w:left w:val="single" w:sz="4" w:space="0" w:color="000000"/>
              <w:bottom w:val="single" w:sz="4" w:space="0" w:color="000000"/>
              <w:right w:val="single" w:sz="4" w:space="0" w:color="000000"/>
            </w:tcBorders>
          </w:tcPr>
          <w:p w14:paraId="08EA0C4A" w14:textId="77777777" w:rsidR="003563EF" w:rsidRPr="00051658" w:rsidRDefault="003563EF" w:rsidP="003C1C0B">
            <w:pPr>
              <w:pStyle w:val="TableParagraph"/>
              <w:widowControl/>
              <w:adjustRightInd w:val="0"/>
              <w:snapToGrid w:val="0"/>
              <w:rPr>
                <w:snapToGrid w:val="0"/>
                <w:sz w:val="20"/>
                <w:lang w:val="sv-SE"/>
              </w:rPr>
            </w:pPr>
          </w:p>
        </w:tc>
        <w:tc>
          <w:tcPr>
            <w:tcW w:w="1302" w:type="dxa"/>
            <w:tcBorders>
              <w:top w:val="single" w:sz="4" w:space="0" w:color="000000"/>
              <w:left w:val="single" w:sz="4" w:space="0" w:color="000000"/>
              <w:bottom w:val="single" w:sz="4" w:space="0" w:color="000000"/>
              <w:right w:val="single" w:sz="4" w:space="0" w:color="000000"/>
            </w:tcBorders>
          </w:tcPr>
          <w:p w14:paraId="15E62E74" w14:textId="77777777" w:rsidR="003563EF" w:rsidRPr="00051658" w:rsidRDefault="003563EF" w:rsidP="003C1C0B">
            <w:pPr>
              <w:pStyle w:val="TableParagraph"/>
              <w:widowControl/>
              <w:adjustRightInd w:val="0"/>
              <w:snapToGrid w:val="0"/>
              <w:rPr>
                <w:snapToGrid w:val="0"/>
                <w:sz w:val="20"/>
                <w:lang w:val="sv-SE"/>
              </w:rPr>
            </w:pPr>
          </w:p>
        </w:tc>
        <w:tc>
          <w:tcPr>
            <w:tcW w:w="1303" w:type="dxa"/>
            <w:tcBorders>
              <w:top w:val="single" w:sz="4" w:space="0" w:color="000000"/>
              <w:left w:val="single" w:sz="4" w:space="0" w:color="000000"/>
              <w:bottom w:val="single" w:sz="4" w:space="0" w:color="000000"/>
            </w:tcBorders>
          </w:tcPr>
          <w:p w14:paraId="3A90DB21" w14:textId="77777777" w:rsidR="003563EF" w:rsidRPr="00051658" w:rsidRDefault="003563EF" w:rsidP="003C1C0B">
            <w:pPr>
              <w:pStyle w:val="TableParagraph"/>
              <w:widowControl/>
              <w:adjustRightInd w:val="0"/>
              <w:snapToGrid w:val="0"/>
              <w:rPr>
                <w:snapToGrid w:val="0"/>
                <w:sz w:val="20"/>
                <w:lang w:val="sv-SE"/>
              </w:rPr>
            </w:pPr>
          </w:p>
        </w:tc>
      </w:tr>
      <w:tr w:rsidR="008E4C56" w:rsidRPr="001B4062" w14:paraId="28536CD1" w14:textId="77777777" w:rsidTr="00051658">
        <w:trPr>
          <w:cantSplit/>
        </w:trPr>
        <w:tc>
          <w:tcPr>
            <w:tcW w:w="1302" w:type="dxa"/>
            <w:tcBorders>
              <w:top w:val="single" w:sz="4" w:space="0" w:color="000000"/>
              <w:bottom w:val="single" w:sz="4" w:space="0" w:color="000000"/>
              <w:right w:val="single" w:sz="4" w:space="0" w:color="000000"/>
            </w:tcBorders>
          </w:tcPr>
          <w:p w14:paraId="63A9B14B"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Knogler, led, muskler og bindevæv</w:t>
            </w:r>
          </w:p>
        </w:tc>
        <w:tc>
          <w:tcPr>
            <w:tcW w:w="1302" w:type="dxa"/>
            <w:tcBorders>
              <w:top w:val="single" w:sz="4" w:space="0" w:color="000000"/>
              <w:left w:val="single" w:sz="4" w:space="0" w:color="000000"/>
              <w:bottom w:val="single" w:sz="4" w:space="0" w:color="000000"/>
              <w:right w:val="single" w:sz="4" w:space="0" w:color="000000"/>
            </w:tcBorders>
          </w:tcPr>
          <w:p w14:paraId="21454213" w14:textId="5A261E0B"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Artralgi</w:t>
            </w:r>
            <w:r w:rsidR="00FE4EF5">
              <w:rPr>
                <w:snapToGrid w:val="0"/>
                <w:sz w:val="20"/>
                <w:lang w:val="da-DK"/>
              </w:rPr>
              <w:t>, m</w:t>
            </w:r>
            <w:r w:rsidRPr="001278B6">
              <w:rPr>
                <w:snapToGrid w:val="0"/>
                <w:sz w:val="20"/>
                <w:lang w:val="da-DK"/>
              </w:rPr>
              <w:t>yalgi</w:t>
            </w:r>
          </w:p>
        </w:tc>
        <w:tc>
          <w:tcPr>
            <w:tcW w:w="1302" w:type="dxa"/>
            <w:tcBorders>
              <w:top w:val="single" w:sz="4" w:space="0" w:color="000000"/>
              <w:left w:val="single" w:sz="4" w:space="0" w:color="000000"/>
              <w:bottom w:val="single" w:sz="4" w:space="0" w:color="000000"/>
              <w:right w:val="single" w:sz="4" w:space="0" w:color="000000"/>
            </w:tcBorders>
          </w:tcPr>
          <w:p w14:paraId="776532BA" w14:textId="6049EA66" w:rsidR="00AB0901" w:rsidRDefault="00473235" w:rsidP="00051658">
            <w:pPr>
              <w:pStyle w:val="TableParagraph"/>
              <w:widowControl/>
              <w:adjustRightInd w:val="0"/>
              <w:snapToGrid w:val="0"/>
              <w:rPr>
                <w:snapToGrid w:val="0"/>
                <w:sz w:val="20"/>
                <w:lang w:val="da-DK"/>
              </w:rPr>
            </w:pPr>
            <w:r w:rsidRPr="001278B6">
              <w:rPr>
                <w:snapToGrid w:val="0"/>
                <w:sz w:val="20"/>
                <w:lang w:val="da-DK"/>
              </w:rPr>
              <w:t>Fistler</w:t>
            </w:r>
            <w:r w:rsidRPr="001278B6">
              <w:rPr>
                <w:snapToGrid w:val="0"/>
                <w:sz w:val="20"/>
                <w:vertAlign w:val="superscript"/>
                <w:lang w:val="da-DK"/>
              </w:rPr>
              <w:t>b,d</w:t>
            </w:r>
            <w:r w:rsidR="00FE4EF5">
              <w:rPr>
                <w:snapToGrid w:val="0"/>
                <w:sz w:val="20"/>
                <w:lang w:val="da-DK"/>
              </w:rPr>
              <w:t>, m</w:t>
            </w:r>
            <w:r w:rsidRPr="001278B6">
              <w:rPr>
                <w:snapToGrid w:val="0"/>
                <w:sz w:val="20"/>
                <w:lang w:val="da-DK"/>
              </w:rPr>
              <w:t>uskel</w:t>
            </w:r>
            <w:r w:rsidR="004B3750">
              <w:rPr>
                <w:snapToGrid w:val="0"/>
                <w:sz w:val="20"/>
                <w:lang w:val="da-DK"/>
              </w:rPr>
              <w:noBreakHyphen/>
            </w:r>
          </w:p>
          <w:p w14:paraId="4044B879" w14:textId="0A2CE54B" w:rsidR="00BF1C93" w:rsidRDefault="00473235" w:rsidP="00051658">
            <w:pPr>
              <w:pStyle w:val="TableParagraph"/>
              <w:widowControl/>
              <w:adjustRightInd w:val="0"/>
              <w:snapToGrid w:val="0"/>
              <w:rPr>
                <w:snapToGrid w:val="0"/>
                <w:sz w:val="20"/>
                <w:lang w:val="da-DK"/>
              </w:rPr>
            </w:pPr>
            <w:r w:rsidRPr="001278B6">
              <w:rPr>
                <w:snapToGrid w:val="0"/>
                <w:sz w:val="20"/>
                <w:lang w:val="da-DK"/>
              </w:rPr>
              <w:t>svaghed</w:t>
            </w:r>
            <w:r w:rsidR="00FE4EF5">
              <w:rPr>
                <w:snapToGrid w:val="0"/>
                <w:sz w:val="20"/>
                <w:lang w:val="da-DK"/>
              </w:rPr>
              <w:t>,</w:t>
            </w:r>
            <w:r w:rsidRPr="001278B6">
              <w:rPr>
                <w:snapToGrid w:val="0"/>
                <w:sz w:val="20"/>
                <w:lang w:val="da-DK"/>
              </w:rPr>
              <w:t xml:space="preserve"> </w:t>
            </w:r>
          </w:p>
          <w:p w14:paraId="2765CEB4" w14:textId="0EB2475D" w:rsidR="003563EF" w:rsidRPr="001278B6" w:rsidRDefault="00FE4EF5" w:rsidP="00051658">
            <w:pPr>
              <w:pStyle w:val="TableParagraph"/>
              <w:widowControl/>
              <w:adjustRightInd w:val="0"/>
              <w:snapToGrid w:val="0"/>
              <w:rPr>
                <w:snapToGrid w:val="0"/>
                <w:sz w:val="20"/>
                <w:lang w:val="da-DK"/>
              </w:rPr>
            </w:pPr>
            <w:r>
              <w:rPr>
                <w:snapToGrid w:val="0"/>
                <w:sz w:val="20"/>
                <w:lang w:val="da-DK"/>
              </w:rPr>
              <w:t>r</w:t>
            </w:r>
            <w:r w:rsidR="00473235" w:rsidRPr="001278B6">
              <w:rPr>
                <w:snapToGrid w:val="0"/>
                <w:sz w:val="20"/>
                <w:lang w:val="da-DK"/>
              </w:rPr>
              <w:t>ygsmerter</w:t>
            </w:r>
          </w:p>
        </w:tc>
        <w:tc>
          <w:tcPr>
            <w:tcW w:w="1302" w:type="dxa"/>
            <w:tcBorders>
              <w:top w:val="single" w:sz="4" w:space="0" w:color="000000"/>
              <w:left w:val="single" w:sz="4" w:space="0" w:color="000000"/>
              <w:bottom w:val="single" w:sz="4" w:space="0" w:color="000000"/>
              <w:right w:val="single" w:sz="4" w:space="0" w:color="000000"/>
            </w:tcBorders>
          </w:tcPr>
          <w:p w14:paraId="07B79394"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28A5537B"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98070CB"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66C9710A" w14:textId="77777777" w:rsidR="00AB0901" w:rsidRDefault="00473235" w:rsidP="00051658">
            <w:pPr>
              <w:pStyle w:val="TableParagraph"/>
              <w:widowControl/>
              <w:adjustRightInd w:val="0"/>
              <w:snapToGrid w:val="0"/>
              <w:rPr>
                <w:snapToGrid w:val="0"/>
                <w:sz w:val="20"/>
                <w:lang w:val="da-DK"/>
              </w:rPr>
            </w:pPr>
            <w:r w:rsidRPr="001278B6">
              <w:rPr>
                <w:snapToGrid w:val="0"/>
                <w:sz w:val="20"/>
                <w:lang w:val="da-DK"/>
              </w:rPr>
              <w:t>Osteo</w:t>
            </w:r>
            <w:r w:rsidR="004B3750">
              <w:rPr>
                <w:snapToGrid w:val="0"/>
                <w:sz w:val="20"/>
                <w:lang w:val="da-DK"/>
              </w:rPr>
              <w:noBreakHyphen/>
            </w:r>
          </w:p>
          <w:p w14:paraId="4E04EBE7" w14:textId="77777777" w:rsidR="00AB0901" w:rsidRDefault="00473235" w:rsidP="00051658">
            <w:pPr>
              <w:pStyle w:val="TableParagraph"/>
              <w:widowControl/>
              <w:adjustRightInd w:val="0"/>
              <w:snapToGrid w:val="0"/>
              <w:rPr>
                <w:snapToGrid w:val="0"/>
                <w:sz w:val="20"/>
                <w:lang w:val="da-DK"/>
              </w:rPr>
            </w:pPr>
            <w:r w:rsidRPr="001278B6">
              <w:rPr>
                <w:snapToGrid w:val="0"/>
                <w:sz w:val="20"/>
                <w:lang w:val="da-DK"/>
              </w:rPr>
              <w:t xml:space="preserve">nekrose </w:t>
            </w:r>
          </w:p>
          <w:p w14:paraId="7F741726" w14:textId="68687B5F" w:rsidR="00914A91" w:rsidRDefault="00473235" w:rsidP="00051658">
            <w:pPr>
              <w:pStyle w:val="TableParagraph"/>
              <w:widowControl/>
              <w:adjustRightInd w:val="0"/>
              <w:snapToGrid w:val="0"/>
              <w:rPr>
                <w:snapToGrid w:val="0"/>
                <w:sz w:val="20"/>
                <w:lang w:val="da-DK"/>
              </w:rPr>
            </w:pPr>
            <w:r w:rsidRPr="001278B6">
              <w:rPr>
                <w:snapToGrid w:val="0"/>
                <w:sz w:val="20"/>
                <w:lang w:val="da-DK"/>
              </w:rPr>
              <w:t>af kæben</w:t>
            </w:r>
            <w:r w:rsidRPr="001278B6">
              <w:rPr>
                <w:snapToGrid w:val="0"/>
                <w:sz w:val="20"/>
                <w:vertAlign w:val="superscript"/>
                <w:lang w:val="da-DK"/>
              </w:rPr>
              <w:t>a</w:t>
            </w:r>
            <w:r w:rsidR="00FE4EF5">
              <w:rPr>
                <w:snapToGrid w:val="0"/>
                <w:sz w:val="20"/>
                <w:lang w:val="da-DK"/>
              </w:rPr>
              <w:t>,</w:t>
            </w:r>
          </w:p>
          <w:p w14:paraId="03AC75B9" w14:textId="0B51DB62" w:rsidR="00AB0901" w:rsidRDefault="00FE4EF5"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kke</w:t>
            </w:r>
            <w:r w:rsidR="004B3750">
              <w:rPr>
                <w:snapToGrid w:val="0"/>
                <w:sz w:val="20"/>
                <w:lang w:val="da-DK"/>
              </w:rPr>
              <w:noBreakHyphen/>
            </w:r>
            <w:r w:rsidR="00473235" w:rsidRPr="001278B6">
              <w:rPr>
                <w:snapToGrid w:val="0"/>
                <w:sz w:val="20"/>
                <w:lang w:val="da-DK"/>
              </w:rPr>
              <w:t>mandibulær osteo</w:t>
            </w:r>
            <w:r w:rsidR="004B3750">
              <w:rPr>
                <w:snapToGrid w:val="0"/>
                <w:sz w:val="20"/>
                <w:lang w:val="da-DK"/>
              </w:rPr>
              <w:noBreakHyphen/>
            </w:r>
          </w:p>
          <w:p w14:paraId="23A9133A" w14:textId="7494988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nekrose</w:t>
            </w:r>
            <w:r w:rsidRPr="001278B6">
              <w:rPr>
                <w:snapToGrid w:val="0"/>
                <w:sz w:val="20"/>
                <w:vertAlign w:val="superscript"/>
                <w:lang w:val="da-DK"/>
              </w:rPr>
              <w:t>a,f</w:t>
            </w:r>
          </w:p>
        </w:tc>
      </w:tr>
      <w:tr w:rsidR="008E4C56" w:rsidRPr="005476B6" w14:paraId="0AF5F5B6" w14:textId="77777777" w:rsidTr="00051658">
        <w:trPr>
          <w:cantSplit/>
        </w:trPr>
        <w:tc>
          <w:tcPr>
            <w:tcW w:w="1302" w:type="dxa"/>
            <w:tcBorders>
              <w:top w:val="single" w:sz="4" w:space="0" w:color="000000"/>
              <w:bottom w:val="single" w:sz="4" w:space="0" w:color="000000"/>
              <w:right w:val="single" w:sz="4" w:space="0" w:color="000000"/>
            </w:tcBorders>
          </w:tcPr>
          <w:p w14:paraId="2382521D"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Nyrer og urinveje</w:t>
            </w:r>
          </w:p>
        </w:tc>
        <w:tc>
          <w:tcPr>
            <w:tcW w:w="1302" w:type="dxa"/>
            <w:tcBorders>
              <w:top w:val="single" w:sz="4" w:space="0" w:color="000000"/>
              <w:left w:val="single" w:sz="4" w:space="0" w:color="000000"/>
              <w:bottom w:val="single" w:sz="4" w:space="0" w:color="000000"/>
              <w:right w:val="single" w:sz="4" w:space="0" w:color="000000"/>
            </w:tcBorders>
          </w:tcPr>
          <w:p w14:paraId="5994E140"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Proteinuri</w:t>
            </w:r>
            <w:r w:rsidRPr="001278B6">
              <w:rPr>
                <w:snapToGrid w:val="0"/>
                <w:sz w:val="20"/>
                <w:vertAlign w:val="superscript"/>
                <w:lang w:val="da-DK"/>
              </w:rPr>
              <w:t>b</w:t>
            </w:r>
          </w:p>
        </w:tc>
        <w:tc>
          <w:tcPr>
            <w:tcW w:w="1302" w:type="dxa"/>
            <w:tcBorders>
              <w:top w:val="single" w:sz="4" w:space="0" w:color="000000"/>
              <w:left w:val="single" w:sz="4" w:space="0" w:color="000000"/>
              <w:bottom w:val="single" w:sz="4" w:space="0" w:color="000000"/>
              <w:right w:val="single" w:sz="4" w:space="0" w:color="000000"/>
            </w:tcBorders>
          </w:tcPr>
          <w:p w14:paraId="3F922F5D"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62FD7D4"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477C013"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11106D80"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3E457DC0"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34125E56" w14:textId="77777777" w:rsidTr="00051658">
        <w:trPr>
          <w:cantSplit/>
        </w:trPr>
        <w:tc>
          <w:tcPr>
            <w:tcW w:w="1302" w:type="dxa"/>
            <w:tcBorders>
              <w:top w:val="single" w:sz="4" w:space="0" w:color="000000"/>
              <w:bottom w:val="single" w:sz="4" w:space="0" w:color="000000"/>
              <w:right w:val="single" w:sz="4" w:space="0" w:color="000000"/>
            </w:tcBorders>
          </w:tcPr>
          <w:p w14:paraId="18DFFB1F"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Det re</w:t>
            </w:r>
            <w:r w:rsidR="004B3750">
              <w:rPr>
                <w:snapToGrid w:val="0"/>
                <w:sz w:val="20"/>
                <w:lang w:val="da-DK"/>
              </w:rPr>
              <w:noBreakHyphen/>
            </w:r>
            <w:r w:rsidRPr="001278B6">
              <w:rPr>
                <w:snapToGrid w:val="0"/>
                <w:sz w:val="20"/>
                <w:lang w:val="da-DK"/>
              </w:rPr>
              <w:t>produktive system og</w:t>
            </w:r>
            <w:r w:rsidR="00914A91">
              <w:rPr>
                <w:snapToGrid w:val="0"/>
                <w:sz w:val="20"/>
                <w:lang w:val="da-DK"/>
              </w:rPr>
              <w:t xml:space="preserve"> </w:t>
            </w:r>
            <w:r w:rsidRPr="001278B6">
              <w:rPr>
                <w:snapToGrid w:val="0"/>
                <w:sz w:val="20"/>
                <w:lang w:val="da-DK"/>
              </w:rPr>
              <w:t>mammae</w:t>
            </w:r>
          </w:p>
        </w:tc>
        <w:tc>
          <w:tcPr>
            <w:tcW w:w="1302" w:type="dxa"/>
            <w:tcBorders>
              <w:top w:val="single" w:sz="4" w:space="0" w:color="000000"/>
              <w:left w:val="single" w:sz="4" w:space="0" w:color="000000"/>
              <w:bottom w:val="single" w:sz="4" w:space="0" w:color="000000"/>
              <w:right w:val="single" w:sz="4" w:space="0" w:color="000000"/>
            </w:tcBorders>
          </w:tcPr>
          <w:p w14:paraId="63B189FC"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Ovariesvigt</w:t>
            </w:r>
            <w:r w:rsidRPr="001278B6">
              <w:rPr>
                <w:snapToGrid w:val="0"/>
                <w:sz w:val="20"/>
                <w:vertAlign w:val="superscript"/>
                <w:lang w:val="da-DK"/>
              </w:rPr>
              <w:t>b,c,d</w:t>
            </w:r>
          </w:p>
        </w:tc>
        <w:tc>
          <w:tcPr>
            <w:tcW w:w="1302" w:type="dxa"/>
            <w:tcBorders>
              <w:top w:val="single" w:sz="4" w:space="0" w:color="000000"/>
              <w:left w:val="single" w:sz="4" w:space="0" w:color="000000"/>
              <w:bottom w:val="single" w:sz="4" w:space="0" w:color="000000"/>
              <w:right w:val="single" w:sz="4" w:space="0" w:color="000000"/>
            </w:tcBorders>
          </w:tcPr>
          <w:p w14:paraId="4C988162" w14:textId="77777777" w:rsidR="00AB0901" w:rsidRDefault="00473235" w:rsidP="00051658">
            <w:pPr>
              <w:pStyle w:val="TableParagraph"/>
              <w:widowControl/>
              <w:adjustRightInd w:val="0"/>
              <w:snapToGrid w:val="0"/>
              <w:rPr>
                <w:snapToGrid w:val="0"/>
                <w:sz w:val="20"/>
                <w:lang w:val="da-DK"/>
              </w:rPr>
            </w:pPr>
            <w:r w:rsidRPr="001278B6">
              <w:rPr>
                <w:snapToGrid w:val="0"/>
                <w:sz w:val="20"/>
                <w:lang w:val="da-DK"/>
              </w:rPr>
              <w:t>Bækken</w:t>
            </w:r>
            <w:r w:rsidR="004B3750">
              <w:rPr>
                <w:snapToGrid w:val="0"/>
                <w:sz w:val="20"/>
                <w:lang w:val="da-DK"/>
              </w:rPr>
              <w:noBreakHyphen/>
            </w:r>
          </w:p>
          <w:p w14:paraId="2D076B74" w14:textId="00580A8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smerter</w:t>
            </w:r>
          </w:p>
        </w:tc>
        <w:tc>
          <w:tcPr>
            <w:tcW w:w="1302" w:type="dxa"/>
            <w:tcBorders>
              <w:top w:val="single" w:sz="4" w:space="0" w:color="000000"/>
              <w:left w:val="single" w:sz="4" w:space="0" w:color="000000"/>
              <w:bottom w:val="single" w:sz="4" w:space="0" w:color="000000"/>
              <w:right w:val="single" w:sz="4" w:space="0" w:color="000000"/>
            </w:tcBorders>
          </w:tcPr>
          <w:p w14:paraId="10B211FE"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1A68F061"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46DA6812"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43D7422C" w14:textId="77777777" w:rsidR="003563EF" w:rsidRPr="001278B6" w:rsidRDefault="003563EF" w:rsidP="003C1C0B">
            <w:pPr>
              <w:pStyle w:val="TableParagraph"/>
              <w:widowControl/>
              <w:adjustRightInd w:val="0"/>
              <w:snapToGrid w:val="0"/>
              <w:rPr>
                <w:snapToGrid w:val="0"/>
                <w:sz w:val="20"/>
                <w:lang w:val="da-DK"/>
              </w:rPr>
            </w:pPr>
          </w:p>
        </w:tc>
      </w:tr>
      <w:tr w:rsidR="008E4C56" w:rsidRPr="004655B2" w14:paraId="20A40884" w14:textId="77777777" w:rsidTr="00051658">
        <w:trPr>
          <w:cantSplit/>
        </w:trPr>
        <w:tc>
          <w:tcPr>
            <w:tcW w:w="1302" w:type="dxa"/>
            <w:tcBorders>
              <w:top w:val="single" w:sz="4" w:space="0" w:color="000000"/>
              <w:bottom w:val="single" w:sz="4" w:space="0" w:color="000000"/>
              <w:right w:val="single" w:sz="4" w:space="0" w:color="000000"/>
            </w:tcBorders>
          </w:tcPr>
          <w:p w14:paraId="3FB9E69A"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Medfødte, familiære og genetiske</w:t>
            </w:r>
            <w:r w:rsidR="00A03FE9">
              <w:rPr>
                <w:snapToGrid w:val="0"/>
                <w:sz w:val="20"/>
                <w:lang w:val="da-DK"/>
              </w:rPr>
              <w:t xml:space="preserve"> </w:t>
            </w:r>
            <w:r w:rsidRPr="001278B6">
              <w:rPr>
                <w:snapToGrid w:val="0"/>
                <w:sz w:val="20"/>
                <w:lang w:val="da-DK"/>
              </w:rPr>
              <w:t>sygdomme</w:t>
            </w:r>
          </w:p>
        </w:tc>
        <w:tc>
          <w:tcPr>
            <w:tcW w:w="1302" w:type="dxa"/>
            <w:tcBorders>
              <w:top w:val="single" w:sz="4" w:space="0" w:color="000000"/>
              <w:left w:val="single" w:sz="4" w:space="0" w:color="000000"/>
              <w:bottom w:val="single" w:sz="4" w:space="0" w:color="000000"/>
              <w:right w:val="single" w:sz="4" w:space="0" w:color="000000"/>
            </w:tcBorders>
          </w:tcPr>
          <w:p w14:paraId="59D08839"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3006CA39"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0F88CC8B"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0E1BB030"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5742E40C"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04FBB6C7" w14:textId="77777777" w:rsidR="00AB0901" w:rsidRDefault="00473235" w:rsidP="00051658">
            <w:pPr>
              <w:pStyle w:val="TableParagraph"/>
              <w:widowControl/>
              <w:adjustRightInd w:val="0"/>
              <w:snapToGrid w:val="0"/>
              <w:rPr>
                <w:snapToGrid w:val="0"/>
                <w:sz w:val="20"/>
                <w:lang w:val="da-DK"/>
              </w:rPr>
            </w:pPr>
            <w:r w:rsidRPr="001278B6">
              <w:rPr>
                <w:snapToGrid w:val="0"/>
                <w:sz w:val="20"/>
                <w:lang w:val="da-DK"/>
              </w:rPr>
              <w:t>Føtale</w:t>
            </w:r>
            <w:r w:rsidR="00A03FE9">
              <w:rPr>
                <w:snapToGrid w:val="0"/>
                <w:sz w:val="20"/>
                <w:lang w:val="da-DK"/>
              </w:rPr>
              <w:t xml:space="preserve"> </w:t>
            </w:r>
            <w:r w:rsidRPr="001278B6">
              <w:rPr>
                <w:snapToGrid w:val="0"/>
                <w:sz w:val="20"/>
                <w:lang w:val="da-DK"/>
              </w:rPr>
              <w:t>anormali</w:t>
            </w:r>
            <w:r w:rsidR="004B3750">
              <w:rPr>
                <w:snapToGrid w:val="0"/>
                <w:sz w:val="20"/>
                <w:lang w:val="da-DK"/>
              </w:rPr>
              <w:noBreakHyphen/>
            </w:r>
          </w:p>
          <w:p w14:paraId="3C338C8E" w14:textId="11A86A1E"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teter</w:t>
            </w:r>
            <w:r w:rsidRPr="001278B6">
              <w:rPr>
                <w:snapToGrid w:val="0"/>
                <w:sz w:val="20"/>
                <w:vertAlign w:val="superscript"/>
                <w:lang w:val="da-DK"/>
              </w:rPr>
              <w:t>a,b</w:t>
            </w:r>
          </w:p>
        </w:tc>
      </w:tr>
      <w:tr w:rsidR="008E4C56" w:rsidRPr="005476B6" w14:paraId="70859CBC" w14:textId="77777777" w:rsidTr="00051658">
        <w:trPr>
          <w:cantSplit/>
        </w:trPr>
        <w:tc>
          <w:tcPr>
            <w:tcW w:w="1302" w:type="dxa"/>
            <w:tcBorders>
              <w:top w:val="single" w:sz="4" w:space="0" w:color="000000"/>
              <w:bottom w:val="single" w:sz="4" w:space="0" w:color="000000"/>
              <w:right w:val="single" w:sz="4" w:space="0" w:color="000000"/>
            </w:tcBorders>
          </w:tcPr>
          <w:p w14:paraId="500D48C0" w14:textId="77777777" w:rsidR="00AB0901" w:rsidRDefault="00473235" w:rsidP="003C1C0B">
            <w:pPr>
              <w:pStyle w:val="TableParagraph"/>
              <w:widowControl/>
              <w:adjustRightInd w:val="0"/>
              <w:snapToGrid w:val="0"/>
              <w:rPr>
                <w:snapToGrid w:val="0"/>
                <w:sz w:val="20"/>
                <w:lang w:val="da-DK"/>
              </w:rPr>
            </w:pPr>
            <w:r w:rsidRPr="001278B6">
              <w:rPr>
                <w:snapToGrid w:val="0"/>
                <w:sz w:val="20"/>
                <w:lang w:val="da-DK"/>
              </w:rPr>
              <w:t>Almene</w:t>
            </w:r>
            <w:r w:rsidR="00A03FE9">
              <w:rPr>
                <w:snapToGrid w:val="0"/>
                <w:sz w:val="20"/>
                <w:lang w:val="da-DK"/>
              </w:rPr>
              <w:t xml:space="preserve"> </w:t>
            </w:r>
            <w:r w:rsidRPr="001278B6">
              <w:rPr>
                <w:snapToGrid w:val="0"/>
                <w:sz w:val="20"/>
                <w:lang w:val="da-DK"/>
              </w:rPr>
              <w:t>symptomer og reaktioner på admini</w:t>
            </w:r>
            <w:r w:rsidR="004B3750">
              <w:rPr>
                <w:snapToGrid w:val="0"/>
                <w:sz w:val="20"/>
                <w:lang w:val="da-DK"/>
              </w:rPr>
              <w:noBreakHyphen/>
            </w:r>
          </w:p>
          <w:p w14:paraId="07801CE2" w14:textId="77777777" w:rsidR="00AB0901" w:rsidRDefault="00473235" w:rsidP="003C1C0B">
            <w:pPr>
              <w:pStyle w:val="TableParagraph"/>
              <w:widowControl/>
              <w:adjustRightInd w:val="0"/>
              <w:snapToGrid w:val="0"/>
              <w:rPr>
                <w:snapToGrid w:val="0"/>
                <w:sz w:val="20"/>
                <w:lang w:val="da-DK"/>
              </w:rPr>
            </w:pPr>
            <w:r w:rsidRPr="001278B6">
              <w:rPr>
                <w:snapToGrid w:val="0"/>
                <w:sz w:val="20"/>
                <w:lang w:val="da-DK"/>
              </w:rPr>
              <w:t>strations</w:t>
            </w:r>
            <w:r w:rsidR="004B3750">
              <w:rPr>
                <w:snapToGrid w:val="0"/>
                <w:sz w:val="20"/>
                <w:lang w:val="da-DK"/>
              </w:rPr>
              <w:noBreakHyphen/>
            </w:r>
          </w:p>
          <w:p w14:paraId="4FE77D21" w14:textId="28ACC7F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stedet</w:t>
            </w:r>
          </w:p>
        </w:tc>
        <w:tc>
          <w:tcPr>
            <w:tcW w:w="1302" w:type="dxa"/>
            <w:tcBorders>
              <w:top w:val="single" w:sz="4" w:space="0" w:color="000000"/>
              <w:left w:val="single" w:sz="4" w:space="0" w:color="000000"/>
              <w:bottom w:val="single" w:sz="4" w:space="0" w:color="000000"/>
              <w:right w:val="single" w:sz="4" w:space="0" w:color="000000"/>
            </w:tcBorders>
          </w:tcPr>
          <w:p w14:paraId="7EB83845"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Asteni</w:t>
            </w:r>
            <w:r w:rsidR="00FE4EF5">
              <w:rPr>
                <w:snapToGrid w:val="0"/>
                <w:sz w:val="20"/>
                <w:lang w:val="da-DK"/>
              </w:rPr>
              <w:t>,</w:t>
            </w:r>
          </w:p>
          <w:p w14:paraId="7C53B4BC" w14:textId="5E59F958" w:rsidR="00914A91" w:rsidRDefault="00FE4EF5" w:rsidP="00051658">
            <w:pPr>
              <w:pStyle w:val="TableParagraph"/>
              <w:widowControl/>
              <w:adjustRightInd w:val="0"/>
              <w:snapToGrid w:val="0"/>
              <w:rPr>
                <w:snapToGrid w:val="0"/>
                <w:sz w:val="20"/>
                <w:lang w:val="da-DK"/>
              </w:rPr>
            </w:pPr>
            <w:r>
              <w:rPr>
                <w:snapToGrid w:val="0"/>
                <w:sz w:val="20"/>
                <w:lang w:val="da-DK"/>
              </w:rPr>
              <w:t>t</w:t>
            </w:r>
            <w:r w:rsidR="00473235" w:rsidRPr="001278B6">
              <w:rPr>
                <w:snapToGrid w:val="0"/>
                <w:sz w:val="20"/>
                <w:lang w:val="da-DK"/>
              </w:rPr>
              <w:t>ræthed</w:t>
            </w:r>
            <w:r>
              <w:rPr>
                <w:snapToGrid w:val="0"/>
                <w:sz w:val="20"/>
                <w:lang w:val="da-DK"/>
              </w:rPr>
              <w:t>,</w:t>
            </w:r>
            <w:r w:rsidR="00473235" w:rsidRPr="001278B6">
              <w:rPr>
                <w:snapToGrid w:val="0"/>
                <w:sz w:val="20"/>
                <w:lang w:val="da-DK"/>
              </w:rPr>
              <w:t xml:space="preserve"> </w:t>
            </w:r>
          </w:p>
          <w:p w14:paraId="3249924C" w14:textId="3CBF8E65" w:rsidR="00914A91" w:rsidRDefault="00FE4EF5" w:rsidP="00051658">
            <w:pPr>
              <w:pStyle w:val="TableParagraph"/>
              <w:widowControl/>
              <w:adjustRightInd w:val="0"/>
              <w:snapToGrid w:val="0"/>
              <w:rPr>
                <w:snapToGrid w:val="0"/>
                <w:sz w:val="20"/>
                <w:lang w:val="da-DK"/>
              </w:rPr>
            </w:pPr>
            <w:r>
              <w:rPr>
                <w:snapToGrid w:val="0"/>
                <w:sz w:val="20"/>
                <w:lang w:val="da-DK"/>
              </w:rPr>
              <w:t>p</w:t>
            </w:r>
            <w:r w:rsidR="00473235" w:rsidRPr="001278B6">
              <w:rPr>
                <w:snapToGrid w:val="0"/>
                <w:sz w:val="20"/>
                <w:lang w:val="da-DK"/>
              </w:rPr>
              <w:t>yreksi</w:t>
            </w:r>
            <w:r>
              <w:rPr>
                <w:snapToGrid w:val="0"/>
                <w:sz w:val="20"/>
                <w:lang w:val="da-DK"/>
              </w:rPr>
              <w:t>,</w:t>
            </w:r>
            <w:r w:rsidR="00473235" w:rsidRPr="001278B6">
              <w:rPr>
                <w:snapToGrid w:val="0"/>
                <w:sz w:val="20"/>
                <w:lang w:val="da-DK"/>
              </w:rPr>
              <w:t xml:space="preserve"> </w:t>
            </w:r>
          </w:p>
          <w:p w14:paraId="4B7E4D24" w14:textId="1BC681F9" w:rsidR="00914A91" w:rsidRDefault="00FE4EF5"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merte</w:t>
            </w:r>
            <w:r>
              <w:rPr>
                <w:snapToGrid w:val="0"/>
                <w:sz w:val="20"/>
                <w:lang w:val="da-DK"/>
              </w:rPr>
              <w:t>,</w:t>
            </w:r>
            <w:r w:rsidR="00473235" w:rsidRPr="001278B6">
              <w:rPr>
                <w:snapToGrid w:val="0"/>
                <w:sz w:val="20"/>
                <w:lang w:val="da-DK"/>
              </w:rPr>
              <w:t xml:space="preserve"> </w:t>
            </w:r>
          </w:p>
          <w:p w14:paraId="436DAA90" w14:textId="2974F9A9" w:rsidR="00AB0901" w:rsidRDefault="00FE4EF5"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limhinde</w:t>
            </w:r>
            <w:r w:rsidR="004B3750">
              <w:rPr>
                <w:snapToGrid w:val="0"/>
                <w:sz w:val="20"/>
                <w:lang w:val="da-DK"/>
              </w:rPr>
              <w:noBreakHyphen/>
            </w:r>
          </w:p>
          <w:p w14:paraId="47624E9F" w14:textId="58E0CEE2"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inflammation</w:t>
            </w:r>
          </w:p>
        </w:tc>
        <w:tc>
          <w:tcPr>
            <w:tcW w:w="1302" w:type="dxa"/>
            <w:tcBorders>
              <w:top w:val="single" w:sz="4" w:space="0" w:color="000000"/>
              <w:left w:val="single" w:sz="4" w:space="0" w:color="000000"/>
              <w:bottom w:val="single" w:sz="4" w:space="0" w:color="000000"/>
              <w:right w:val="single" w:sz="4" w:space="0" w:color="000000"/>
            </w:tcBorders>
          </w:tcPr>
          <w:p w14:paraId="216EFCDC"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Letargi</w:t>
            </w:r>
          </w:p>
        </w:tc>
        <w:tc>
          <w:tcPr>
            <w:tcW w:w="1302" w:type="dxa"/>
            <w:tcBorders>
              <w:top w:val="single" w:sz="4" w:space="0" w:color="000000"/>
              <w:left w:val="single" w:sz="4" w:space="0" w:color="000000"/>
              <w:bottom w:val="single" w:sz="4" w:space="0" w:color="000000"/>
              <w:right w:val="single" w:sz="4" w:space="0" w:color="000000"/>
            </w:tcBorders>
          </w:tcPr>
          <w:p w14:paraId="39E74842"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78CBD8A0"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3F426B5C"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721D7E5D" w14:textId="77777777" w:rsidR="003563EF" w:rsidRPr="001278B6" w:rsidRDefault="003563EF" w:rsidP="003C1C0B">
            <w:pPr>
              <w:pStyle w:val="TableParagraph"/>
              <w:widowControl/>
              <w:adjustRightInd w:val="0"/>
              <w:snapToGrid w:val="0"/>
              <w:rPr>
                <w:snapToGrid w:val="0"/>
                <w:sz w:val="20"/>
                <w:lang w:val="da-DK"/>
              </w:rPr>
            </w:pPr>
          </w:p>
        </w:tc>
      </w:tr>
      <w:tr w:rsidR="008E4C56" w:rsidRPr="005476B6" w14:paraId="545FAB0F" w14:textId="77777777" w:rsidTr="00051658">
        <w:trPr>
          <w:cantSplit/>
        </w:trPr>
        <w:tc>
          <w:tcPr>
            <w:tcW w:w="1302" w:type="dxa"/>
            <w:tcBorders>
              <w:top w:val="single" w:sz="4" w:space="0" w:color="000000"/>
              <w:bottom w:val="single" w:sz="4" w:space="0" w:color="000000"/>
              <w:right w:val="single" w:sz="4" w:space="0" w:color="000000"/>
            </w:tcBorders>
          </w:tcPr>
          <w:p w14:paraId="5184EE54" w14:textId="77777777" w:rsidR="00AB0901" w:rsidRDefault="00473235" w:rsidP="003C1C0B">
            <w:pPr>
              <w:pStyle w:val="TableParagraph"/>
              <w:widowControl/>
              <w:adjustRightInd w:val="0"/>
              <w:snapToGrid w:val="0"/>
              <w:rPr>
                <w:snapToGrid w:val="0"/>
                <w:sz w:val="20"/>
                <w:lang w:val="da-DK"/>
              </w:rPr>
            </w:pPr>
            <w:r w:rsidRPr="001278B6">
              <w:rPr>
                <w:snapToGrid w:val="0"/>
                <w:sz w:val="20"/>
                <w:lang w:val="da-DK"/>
              </w:rPr>
              <w:t>Under</w:t>
            </w:r>
            <w:r w:rsidR="004B3750">
              <w:rPr>
                <w:snapToGrid w:val="0"/>
                <w:sz w:val="20"/>
                <w:lang w:val="da-DK"/>
              </w:rPr>
              <w:noBreakHyphen/>
            </w:r>
          </w:p>
          <w:p w14:paraId="50DAC850" w14:textId="613536D2"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søgelser</w:t>
            </w:r>
          </w:p>
        </w:tc>
        <w:tc>
          <w:tcPr>
            <w:tcW w:w="1302" w:type="dxa"/>
            <w:tcBorders>
              <w:top w:val="single" w:sz="4" w:space="0" w:color="000000"/>
              <w:left w:val="single" w:sz="4" w:space="0" w:color="000000"/>
              <w:bottom w:val="single" w:sz="4" w:space="0" w:color="000000"/>
              <w:right w:val="single" w:sz="4" w:space="0" w:color="000000"/>
            </w:tcBorders>
          </w:tcPr>
          <w:p w14:paraId="7443942E"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Vægttab</w:t>
            </w:r>
          </w:p>
        </w:tc>
        <w:tc>
          <w:tcPr>
            <w:tcW w:w="1302" w:type="dxa"/>
            <w:tcBorders>
              <w:top w:val="single" w:sz="4" w:space="0" w:color="000000"/>
              <w:left w:val="single" w:sz="4" w:space="0" w:color="000000"/>
              <w:bottom w:val="single" w:sz="4" w:space="0" w:color="000000"/>
              <w:right w:val="single" w:sz="4" w:space="0" w:color="000000"/>
            </w:tcBorders>
          </w:tcPr>
          <w:p w14:paraId="5F9890DC"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7AFA3457"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BB6E770" w14:textId="77777777" w:rsidR="003563EF" w:rsidRPr="001278B6" w:rsidRDefault="003563EF" w:rsidP="003C1C0B">
            <w:pPr>
              <w:pStyle w:val="TableParagraph"/>
              <w:widowControl/>
              <w:adjustRightInd w:val="0"/>
              <w:snapToGrid w:val="0"/>
              <w:rPr>
                <w:snapToGrid w:val="0"/>
                <w:sz w:val="20"/>
                <w:lang w:val="da-DK"/>
              </w:rPr>
            </w:pPr>
          </w:p>
        </w:tc>
        <w:tc>
          <w:tcPr>
            <w:tcW w:w="1302" w:type="dxa"/>
            <w:tcBorders>
              <w:top w:val="single" w:sz="4" w:space="0" w:color="000000"/>
              <w:left w:val="single" w:sz="4" w:space="0" w:color="000000"/>
              <w:bottom w:val="single" w:sz="4" w:space="0" w:color="000000"/>
              <w:right w:val="single" w:sz="4" w:space="0" w:color="000000"/>
            </w:tcBorders>
          </w:tcPr>
          <w:p w14:paraId="62D99B03" w14:textId="77777777" w:rsidR="003563EF" w:rsidRPr="001278B6" w:rsidRDefault="003563EF" w:rsidP="003C1C0B">
            <w:pPr>
              <w:pStyle w:val="TableParagraph"/>
              <w:widowControl/>
              <w:adjustRightInd w:val="0"/>
              <w:snapToGrid w:val="0"/>
              <w:rPr>
                <w:snapToGrid w:val="0"/>
                <w:sz w:val="20"/>
                <w:lang w:val="da-DK"/>
              </w:rPr>
            </w:pPr>
          </w:p>
        </w:tc>
        <w:tc>
          <w:tcPr>
            <w:tcW w:w="1303" w:type="dxa"/>
            <w:tcBorders>
              <w:top w:val="single" w:sz="4" w:space="0" w:color="000000"/>
              <w:left w:val="single" w:sz="4" w:space="0" w:color="000000"/>
              <w:bottom w:val="single" w:sz="4" w:space="0" w:color="000000"/>
            </w:tcBorders>
          </w:tcPr>
          <w:p w14:paraId="511CAE83" w14:textId="77777777" w:rsidR="003563EF" w:rsidRPr="001278B6" w:rsidRDefault="003563EF" w:rsidP="003C1C0B">
            <w:pPr>
              <w:pStyle w:val="TableParagraph"/>
              <w:widowControl/>
              <w:adjustRightInd w:val="0"/>
              <w:snapToGrid w:val="0"/>
              <w:rPr>
                <w:snapToGrid w:val="0"/>
                <w:sz w:val="20"/>
                <w:lang w:val="da-DK"/>
              </w:rPr>
            </w:pPr>
          </w:p>
        </w:tc>
      </w:tr>
    </w:tbl>
    <w:p w14:paraId="24A5E989"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Hvis bivirkningerne i kliniske studier er registreret som både bivirkning af alle grader og bivirkning af grad 3</w:t>
      </w:r>
      <w:r w:rsidR="004B3750">
        <w:rPr>
          <w:snapToGrid w:val="0"/>
          <w:sz w:val="18"/>
          <w:szCs w:val="18"/>
          <w:lang w:val="da-DK"/>
        </w:rPr>
        <w:noBreakHyphen/>
      </w:r>
      <w:r w:rsidRPr="001278B6">
        <w:rPr>
          <w:snapToGrid w:val="0"/>
          <w:sz w:val="18"/>
          <w:szCs w:val="18"/>
          <w:lang w:val="da-DK"/>
        </w:rPr>
        <w:t>5, er den højeste frekvens, som er observeret hos patienter, rapporteret. Data er ikke justeret for forskelle i tidspunktet i behandlingsforløbet.</w:t>
      </w:r>
    </w:p>
    <w:p w14:paraId="0BFD0184"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a</w:t>
      </w:r>
      <w:r w:rsidRPr="001278B6">
        <w:rPr>
          <w:snapToGrid w:val="0"/>
          <w:sz w:val="18"/>
          <w:szCs w:val="18"/>
          <w:lang w:val="da-DK"/>
        </w:rPr>
        <w:t xml:space="preserve"> For yderligere information henvises til Tabel 3 'Bivirkninger rapporteret post</w:t>
      </w:r>
      <w:r w:rsidR="004B3750">
        <w:rPr>
          <w:snapToGrid w:val="0"/>
          <w:sz w:val="18"/>
          <w:szCs w:val="18"/>
          <w:lang w:val="da-DK"/>
        </w:rPr>
        <w:noBreakHyphen/>
      </w:r>
      <w:r w:rsidRPr="001278B6">
        <w:rPr>
          <w:snapToGrid w:val="0"/>
          <w:sz w:val="18"/>
          <w:szCs w:val="18"/>
          <w:lang w:val="da-DK"/>
        </w:rPr>
        <w:t>marketing'.</w:t>
      </w:r>
    </w:p>
    <w:p w14:paraId="042FE924"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Termerne repræsenterer grupperede bivirkninger, der beskriver et medicinsk koncept frem for en enkelttilstand eller den foretrukne term i MedDRA (</w:t>
      </w:r>
      <w:r w:rsidRPr="001278B6">
        <w:rPr>
          <w:i/>
          <w:snapToGrid w:val="0"/>
          <w:sz w:val="18"/>
          <w:szCs w:val="18"/>
          <w:lang w:val="da-DK"/>
        </w:rPr>
        <w:t>Medical Dictionary for Regulatory Activities</w:t>
      </w:r>
      <w:r w:rsidRPr="001278B6">
        <w:rPr>
          <w:snapToGrid w:val="0"/>
          <w:sz w:val="18"/>
          <w:szCs w:val="18"/>
          <w:lang w:val="da-DK"/>
        </w:rPr>
        <w:t>). Denne gruppe medicinske termer kan involvere samme underliggende patofysiologi (fx arterielle tromboemboliske bivirkninger inklusive cerebrovaskulære tilfælde, myokardieinfarkt, transitorisk iskæmisk attak og andre arterielle tromboemboliske hændelser).</w:t>
      </w:r>
    </w:p>
    <w:p w14:paraId="3D0FC8CB"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c</w:t>
      </w:r>
      <w:r w:rsidRPr="001278B6">
        <w:rPr>
          <w:snapToGrid w:val="0"/>
          <w:sz w:val="18"/>
          <w:szCs w:val="18"/>
          <w:lang w:val="da-DK"/>
        </w:rPr>
        <w:t xml:space="preserve"> Baseret på et substudie fra NSABP C</w:t>
      </w:r>
      <w:r w:rsidR="004B3750">
        <w:rPr>
          <w:snapToGrid w:val="0"/>
          <w:sz w:val="18"/>
          <w:szCs w:val="18"/>
          <w:lang w:val="da-DK"/>
        </w:rPr>
        <w:noBreakHyphen/>
      </w:r>
      <w:r w:rsidRPr="001278B6">
        <w:rPr>
          <w:snapToGrid w:val="0"/>
          <w:sz w:val="18"/>
          <w:szCs w:val="18"/>
          <w:lang w:val="da-DK"/>
        </w:rPr>
        <w:t>08 med 295 patienter.</w:t>
      </w:r>
    </w:p>
    <w:p w14:paraId="2196EEDC"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d</w:t>
      </w:r>
      <w:r w:rsidRPr="001278B6">
        <w:rPr>
          <w:snapToGrid w:val="0"/>
          <w:sz w:val="18"/>
          <w:szCs w:val="18"/>
          <w:lang w:val="da-DK"/>
        </w:rPr>
        <w:t xml:space="preserve"> For yderligere information henvises til nedenstående afsnit "Yderligere information om visse alvorlige bivirkninger".</w:t>
      </w:r>
    </w:p>
    <w:p w14:paraId="365642F7"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e</w:t>
      </w:r>
      <w:r w:rsidRPr="001278B6">
        <w:rPr>
          <w:snapToGrid w:val="0"/>
          <w:sz w:val="18"/>
          <w:szCs w:val="18"/>
          <w:lang w:val="da-DK"/>
        </w:rPr>
        <w:t xml:space="preserve"> Rektovaginale fistler er de hyppigste fistler i kategorien gastrointestinale</w:t>
      </w:r>
      <w:r w:rsidR="004B3750">
        <w:rPr>
          <w:snapToGrid w:val="0"/>
          <w:sz w:val="18"/>
          <w:szCs w:val="18"/>
          <w:lang w:val="da-DK"/>
        </w:rPr>
        <w:noBreakHyphen/>
      </w:r>
      <w:r w:rsidRPr="001278B6">
        <w:rPr>
          <w:snapToGrid w:val="0"/>
          <w:sz w:val="18"/>
          <w:szCs w:val="18"/>
          <w:lang w:val="da-DK"/>
        </w:rPr>
        <w:t>vaginale fistler.</w:t>
      </w:r>
    </w:p>
    <w:p w14:paraId="2653DDCA"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f</w:t>
      </w:r>
      <w:r w:rsidRPr="001278B6">
        <w:rPr>
          <w:snapToGrid w:val="0"/>
          <w:sz w:val="18"/>
          <w:szCs w:val="18"/>
          <w:lang w:val="da-DK"/>
        </w:rPr>
        <w:t xml:space="preserve"> Kun observeret i den pædiatriske population.</w:t>
      </w:r>
    </w:p>
    <w:p w14:paraId="4491ED6F" w14:textId="77777777" w:rsidR="003563EF" w:rsidRPr="00765991" w:rsidRDefault="00473235" w:rsidP="00765991">
      <w:pPr>
        <w:ind w:left="1134" w:hanging="1134"/>
        <w:rPr>
          <w:b/>
          <w:bCs/>
          <w:snapToGrid w:val="0"/>
          <w:lang w:val="da-DK"/>
        </w:rPr>
      </w:pPr>
      <w:r w:rsidRPr="00765991">
        <w:rPr>
          <w:b/>
          <w:bCs/>
          <w:snapToGrid w:val="0"/>
          <w:lang w:val="da-DK"/>
        </w:rPr>
        <w:lastRenderedPageBreak/>
        <w:t>Tabel 2.</w:t>
      </w:r>
      <w:r w:rsidRPr="00765991">
        <w:rPr>
          <w:b/>
          <w:bCs/>
          <w:snapToGrid w:val="0"/>
          <w:lang w:val="da-DK"/>
        </w:rPr>
        <w:tab/>
        <w:t>Frekvens af alvorlige bivirkninger</w:t>
      </w:r>
    </w:p>
    <w:p w14:paraId="2D4E8248" w14:textId="77777777" w:rsidR="003563EF" w:rsidRPr="001278B6" w:rsidRDefault="003563EF" w:rsidP="001278B6">
      <w:pPr>
        <w:pStyle w:val="a3"/>
        <w:widowControl/>
        <w:adjustRightInd w:val="0"/>
        <w:snapToGrid w:val="0"/>
        <w:rPr>
          <w:b/>
          <w:snapToGrid w:val="0"/>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4"/>
        <w:gridCol w:w="1294"/>
        <w:gridCol w:w="1294"/>
        <w:gridCol w:w="1293"/>
        <w:gridCol w:w="1294"/>
        <w:gridCol w:w="1293"/>
        <w:gridCol w:w="1294"/>
      </w:tblGrid>
      <w:tr w:rsidR="00864D0E" w:rsidRPr="005476B6" w14:paraId="3079CEC9" w14:textId="77777777" w:rsidTr="00051658">
        <w:trPr>
          <w:cantSplit/>
          <w:tblHeader/>
        </w:trPr>
        <w:tc>
          <w:tcPr>
            <w:tcW w:w="1327" w:type="dxa"/>
            <w:tcBorders>
              <w:bottom w:val="single" w:sz="4" w:space="0" w:color="000000"/>
              <w:right w:val="single" w:sz="4" w:space="0" w:color="000000"/>
            </w:tcBorders>
          </w:tcPr>
          <w:p w14:paraId="37E8DE85" w14:textId="77777777" w:rsidR="003563EF" w:rsidRPr="001278B6" w:rsidRDefault="00473235" w:rsidP="003C1C0B">
            <w:pPr>
              <w:pStyle w:val="TableParagraph"/>
              <w:widowControl/>
              <w:adjustRightInd w:val="0"/>
              <w:snapToGrid w:val="0"/>
              <w:rPr>
                <w:b/>
                <w:bCs/>
                <w:snapToGrid w:val="0"/>
                <w:sz w:val="20"/>
                <w:lang w:val="da-DK"/>
              </w:rPr>
            </w:pPr>
            <w:r w:rsidRPr="001278B6">
              <w:rPr>
                <w:b/>
                <w:bCs/>
                <w:snapToGrid w:val="0"/>
                <w:sz w:val="20"/>
                <w:lang w:val="da-DK"/>
              </w:rPr>
              <w:t>System-organklasse</w:t>
            </w:r>
          </w:p>
        </w:tc>
        <w:tc>
          <w:tcPr>
            <w:tcW w:w="1327" w:type="dxa"/>
            <w:tcBorders>
              <w:left w:val="single" w:sz="4" w:space="0" w:color="000000"/>
              <w:bottom w:val="single" w:sz="4" w:space="0" w:color="000000"/>
              <w:right w:val="single" w:sz="4" w:space="0" w:color="000000"/>
            </w:tcBorders>
            <w:vAlign w:val="center"/>
          </w:tcPr>
          <w:p w14:paraId="7BAD7066"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Meget almindelig</w:t>
            </w:r>
          </w:p>
        </w:tc>
        <w:tc>
          <w:tcPr>
            <w:tcW w:w="1328" w:type="dxa"/>
            <w:tcBorders>
              <w:left w:val="single" w:sz="4" w:space="0" w:color="000000"/>
              <w:bottom w:val="single" w:sz="4" w:space="0" w:color="000000"/>
              <w:right w:val="single" w:sz="4" w:space="0" w:color="000000"/>
            </w:tcBorders>
            <w:vAlign w:val="center"/>
          </w:tcPr>
          <w:p w14:paraId="47BE0253"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Almindelig</w:t>
            </w:r>
          </w:p>
        </w:tc>
        <w:tc>
          <w:tcPr>
            <w:tcW w:w="1327" w:type="dxa"/>
            <w:tcBorders>
              <w:left w:val="single" w:sz="4" w:space="0" w:color="000000"/>
              <w:bottom w:val="single" w:sz="4" w:space="0" w:color="000000"/>
              <w:right w:val="single" w:sz="4" w:space="0" w:color="000000"/>
            </w:tcBorders>
            <w:vAlign w:val="center"/>
          </w:tcPr>
          <w:p w14:paraId="5F6BFB00" w14:textId="2F42C50B"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Ikke almindelig</w:t>
            </w:r>
          </w:p>
        </w:tc>
        <w:tc>
          <w:tcPr>
            <w:tcW w:w="1328" w:type="dxa"/>
            <w:tcBorders>
              <w:left w:val="single" w:sz="4" w:space="0" w:color="000000"/>
              <w:bottom w:val="single" w:sz="4" w:space="0" w:color="000000"/>
              <w:right w:val="single" w:sz="4" w:space="0" w:color="000000"/>
            </w:tcBorders>
            <w:vAlign w:val="center"/>
          </w:tcPr>
          <w:p w14:paraId="4C890877"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Sjælden</w:t>
            </w:r>
          </w:p>
        </w:tc>
        <w:tc>
          <w:tcPr>
            <w:tcW w:w="1327" w:type="dxa"/>
            <w:tcBorders>
              <w:left w:val="single" w:sz="4" w:space="0" w:color="000000"/>
              <w:bottom w:val="single" w:sz="4" w:space="0" w:color="000000"/>
              <w:right w:val="single" w:sz="4" w:space="0" w:color="000000"/>
            </w:tcBorders>
            <w:vAlign w:val="center"/>
          </w:tcPr>
          <w:p w14:paraId="4016926D" w14:textId="5375D876"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Meget sjælden</w:t>
            </w:r>
          </w:p>
        </w:tc>
        <w:tc>
          <w:tcPr>
            <w:tcW w:w="1328" w:type="dxa"/>
            <w:tcBorders>
              <w:left w:val="single" w:sz="4" w:space="0" w:color="000000"/>
              <w:bottom w:val="single" w:sz="4" w:space="0" w:color="000000"/>
            </w:tcBorders>
            <w:vAlign w:val="center"/>
          </w:tcPr>
          <w:p w14:paraId="3CFC273B" w14:textId="77777777" w:rsidR="003563EF" w:rsidRPr="001278B6" w:rsidRDefault="00473235" w:rsidP="00051658">
            <w:pPr>
              <w:pStyle w:val="TableParagraph"/>
              <w:widowControl/>
              <w:adjustRightInd w:val="0"/>
              <w:snapToGrid w:val="0"/>
              <w:rPr>
                <w:b/>
                <w:bCs/>
                <w:snapToGrid w:val="0"/>
                <w:sz w:val="20"/>
                <w:lang w:val="da-DK"/>
              </w:rPr>
            </w:pPr>
            <w:r w:rsidRPr="001278B6">
              <w:rPr>
                <w:b/>
                <w:bCs/>
                <w:snapToGrid w:val="0"/>
                <w:sz w:val="20"/>
                <w:lang w:val="da-DK"/>
              </w:rPr>
              <w:t>Hyppighed ikke kendt</w:t>
            </w:r>
          </w:p>
        </w:tc>
      </w:tr>
      <w:tr w:rsidR="00864D0E" w:rsidRPr="005476B6" w14:paraId="4F38CF20" w14:textId="77777777" w:rsidTr="00051658">
        <w:trPr>
          <w:cantSplit/>
        </w:trPr>
        <w:tc>
          <w:tcPr>
            <w:tcW w:w="1327" w:type="dxa"/>
            <w:tcBorders>
              <w:top w:val="single" w:sz="4" w:space="0" w:color="000000"/>
              <w:bottom w:val="single" w:sz="4" w:space="0" w:color="000000"/>
              <w:right w:val="single" w:sz="4" w:space="0" w:color="000000"/>
            </w:tcBorders>
          </w:tcPr>
          <w:p w14:paraId="4BFED261"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Infektioner og parasitære sygdomme</w:t>
            </w:r>
          </w:p>
        </w:tc>
        <w:tc>
          <w:tcPr>
            <w:tcW w:w="1327" w:type="dxa"/>
            <w:tcBorders>
              <w:top w:val="single" w:sz="4" w:space="0" w:color="000000"/>
              <w:left w:val="single" w:sz="4" w:space="0" w:color="000000"/>
              <w:bottom w:val="single" w:sz="4" w:space="0" w:color="000000"/>
              <w:right w:val="single" w:sz="4" w:space="0" w:color="000000"/>
            </w:tcBorders>
          </w:tcPr>
          <w:p w14:paraId="09D9B985"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00AED479" w14:textId="77777777" w:rsidR="00612AFE" w:rsidRPr="003C63FB" w:rsidRDefault="00473235" w:rsidP="00051658">
            <w:pPr>
              <w:pStyle w:val="TableParagraph"/>
              <w:widowControl/>
              <w:adjustRightInd w:val="0"/>
              <w:snapToGrid w:val="0"/>
              <w:rPr>
                <w:snapToGrid w:val="0"/>
                <w:sz w:val="20"/>
                <w:lang w:val="sv-SE"/>
              </w:rPr>
            </w:pPr>
            <w:r w:rsidRPr="003C63FB">
              <w:rPr>
                <w:snapToGrid w:val="0"/>
                <w:sz w:val="20"/>
                <w:lang w:val="sv-SE"/>
              </w:rPr>
              <w:t>Sepsis</w:t>
            </w:r>
            <w:r w:rsidR="00FE4EF5" w:rsidRPr="003C63FB">
              <w:rPr>
                <w:snapToGrid w:val="0"/>
                <w:sz w:val="20"/>
                <w:lang w:val="sv-SE"/>
              </w:rPr>
              <w:t>,</w:t>
            </w:r>
            <w:r w:rsidRPr="003C63FB">
              <w:rPr>
                <w:snapToGrid w:val="0"/>
                <w:sz w:val="20"/>
                <w:lang w:val="sv-SE"/>
              </w:rPr>
              <w:t xml:space="preserve"> </w:t>
            </w:r>
          </w:p>
          <w:p w14:paraId="4E19DF6D" w14:textId="079A97D3" w:rsidR="00612AFE" w:rsidRPr="003C63FB" w:rsidRDefault="00FE4EF5" w:rsidP="00051658">
            <w:pPr>
              <w:pStyle w:val="TableParagraph"/>
              <w:widowControl/>
              <w:adjustRightInd w:val="0"/>
              <w:snapToGrid w:val="0"/>
              <w:rPr>
                <w:snapToGrid w:val="0"/>
                <w:sz w:val="20"/>
                <w:lang w:val="sv-SE"/>
              </w:rPr>
            </w:pPr>
            <w:r w:rsidRPr="003C63FB">
              <w:rPr>
                <w:snapToGrid w:val="0"/>
                <w:sz w:val="20"/>
                <w:lang w:val="sv-SE"/>
              </w:rPr>
              <w:t>c</w:t>
            </w:r>
            <w:r w:rsidR="00473235" w:rsidRPr="003C63FB">
              <w:rPr>
                <w:snapToGrid w:val="0"/>
                <w:sz w:val="20"/>
                <w:lang w:val="sv-SE"/>
              </w:rPr>
              <w:t>ellulitis</w:t>
            </w:r>
            <w:r w:rsidRPr="003C63FB">
              <w:rPr>
                <w:snapToGrid w:val="0"/>
                <w:sz w:val="20"/>
                <w:lang w:val="sv-SE"/>
              </w:rPr>
              <w:t>,</w:t>
            </w:r>
            <w:r w:rsidR="00473235" w:rsidRPr="003C63FB">
              <w:rPr>
                <w:snapToGrid w:val="0"/>
                <w:sz w:val="20"/>
                <w:lang w:val="sv-SE"/>
              </w:rPr>
              <w:t xml:space="preserve"> </w:t>
            </w:r>
          </w:p>
          <w:p w14:paraId="18795ABF" w14:textId="02BC32CC" w:rsidR="003563EF" w:rsidRPr="003C63FB" w:rsidRDefault="00FE4EF5" w:rsidP="00051658">
            <w:pPr>
              <w:pStyle w:val="TableParagraph"/>
              <w:widowControl/>
              <w:adjustRightInd w:val="0"/>
              <w:snapToGrid w:val="0"/>
              <w:rPr>
                <w:snapToGrid w:val="0"/>
                <w:sz w:val="20"/>
                <w:lang w:val="sv-SE"/>
              </w:rPr>
            </w:pPr>
            <w:r w:rsidRPr="003C63FB">
              <w:rPr>
                <w:snapToGrid w:val="0"/>
                <w:sz w:val="20"/>
                <w:lang w:val="sv-SE"/>
              </w:rPr>
              <w:t>a</w:t>
            </w:r>
            <w:r w:rsidR="00473235" w:rsidRPr="003C63FB">
              <w:rPr>
                <w:snapToGrid w:val="0"/>
                <w:sz w:val="20"/>
                <w:lang w:val="sv-SE"/>
              </w:rPr>
              <w:t>bsces</w:t>
            </w:r>
            <w:r w:rsidR="00473235" w:rsidRPr="003C63FB">
              <w:rPr>
                <w:snapToGrid w:val="0"/>
                <w:sz w:val="20"/>
                <w:vertAlign w:val="superscript"/>
                <w:lang w:val="sv-SE"/>
              </w:rPr>
              <w:t>a,b</w:t>
            </w:r>
            <w:r w:rsidRPr="003C63FB">
              <w:rPr>
                <w:snapToGrid w:val="0"/>
                <w:sz w:val="20"/>
                <w:lang w:val="sv-SE"/>
              </w:rPr>
              <w:t>, i</w:t>
            </w:r>
            <w:r w:rsidR="00473235" w:rsidRPr="003C63FB">
              <w:rPr>
                <w:snapToGrid w:val="0"/>
                <w:sz w:val="20"/>
                <w:lang w:val="sv-SE"/>
              </w:rPr>
              <w:t>nfektion</w:t>
            </w:r>
            <w:r w:rsidRPr="003C63FB">
              <w:rPr>
                <w:snapToGrid w:val="0"/>
                <w:sz w:val="20"/>
                <w:lang w:val="sv-SE"/>
              </w:rPr>
              <w:t>,</w:t>
            </w:r>
          </w:p>
          <w:p w14:paraId="029B0F35" w14:textId="52A54AB6" w:rsidR="003563EF" w:rsidRPr="007E69C7" w:rsidRDefault="00FE4EF5" w:rsidP="00051658">
            <w:pPr>
              <w:pStyle w:val="TableParagraph"/>
              <w:widowControl/>
              <w:adjustRightInd w:val="0"/>
              <w:snapToGrid w:val="0"/>
              <w:rPr>
                <w:snapToGrid w:val="0"/>
                <w:sz w:val="20"/>
              </w:rPr>
            </w:pPr>
            <w:proofErr w:type="spellStart"/>
            <w:r w:rsidRPr="007E69C7">
              <w:rPr>
                <w:snapToGrid w:val="0"/>
                <w:sz w:val="20"/>
              </w:rPr>
              <w:t>u</w:t>
            </w:r>
            <w:r w:rsidR="00473235" w:rsidRPr="007E69C7">
              <w:rPr>
                <w:snapToGrid w:val="0"/>
                <w:sz w:val="20"/>
              </w:rPr>
              <w:t>rinvejs-infektion</w:t>
            </w:r>
            <w:proofErr w:type="spellEnd"/>
          </w:p>
        </w:tc>
        <w:tc>
          <w:tcPr>
            <w:tcW w:w="1327" w:type="dxa"/>
            <w:tcBorders>
              <w:top w:val="single" w:sz="4" w:space="0" w:color="000000"/>
              <w:left w:val="single" w:sz="4" w:space="0" w:color="000000"/>
              <w:bottom w:val="single" w:sz="4" w:space="0" w:color="000000"/>
              <w:right w:val="single" w:sz="4" w:space="0" w:color="000000"/>
            </w:tcBorders>
          </w:tcPr>
          <w:p w14:paraId="11A3121D" w14:textId="77777777" w:rsidR="003563EF" w:rsidRPr="007E69C7" w:rsidRDefault="003563EF" w:rsidP="003C1C0B">
            <w:pPr>
              <w:pStyle w:val="TableParagraph"/>
              <w:widowControl/>
              <w:adjustRightInd w:val="0"/>
              <w:snapToGrid w:val="0"/>
              <w:rPr>
                <w:snapToGrid w:val="0"/>
                <w:sz w:val="20"/>
              </w:rPr>
            </w:pPr>
          </w:p>
        </w:tc>
        <w:tc>
          <w:tcPr>
            <w:tcW w:w="1328" w:type="dxa"/>
            <w:tcBorders>
              <w:top w:val="single" w:sz="4" w:space="0" w:color="000000"/>
              <w:left w:val="single" w:sz="4" w:space="0" w:color="000000"/>
              <w:bottom w:val="single" w:sz="4" w:space="0" w:color="000000"/>
              <w:right w:val="single" w:sz="4" w:space="0" w:color="000000"/>
            </w:tcBorders>
          </w:tcPr>
          <w:p w14:paraId="37FA9C4F" w14:textId="77777777" w:rsidR="003563EF" w:rsidRPr="007E69C7" w:rsidRDefault="003563EF" w:rsidP="003C1C0B">
            <w:pPr>
              <w:pStyle w:val="TableParagraph"/>
              <w:widowControl/>
              <w:adjustRightInd w:val="0"/>
              <w:snapToGrid w:val="0"/>
              <w:rPr>
                <w:snapToGrid w:val="0"/>
                <w:sz w:val="20"/>
              </w:rPr>
            </w:pPr>
          </w:p>
        </w:tc>
        <w:tc>
          <w:tcPr>
            <w:tcW w:w="1327" w:type="dxa"/>
            <w:tcBorders>
              <w:top w:val="single" w:sz="4" w:space="0" w:color="000000"/>
              <w:left w:val="single" w:sz="4" w:space="0" w:color="000000"/>
              <w:bottom w:val="single" w:sz="4" w:space="0" w:color="000000"/>
              <w:right w:val="single" w:sz="4" w:space="0" w:color="000000"/>
            </w:tcBorders>
          </w:tcPr>
          <w:p w14:paraId="244B4EE7" w14:textId="77777777" w:rsidR="003563EF" w:rsidRPr="007E69C7" w:rsidRDefault="003563EF" w:rsidP="003C1C0B">
            <w:pPr>
              <w:pStyle w:val="TableParagraph"/>
              <w:widowControl/>
              <w:adjustRightInd w:val="0"/>
              <w:snapToGrid w:val="0"/>
              <w:rPr>
                <w:snapToGrid w:val="0"/>
                <w:sz w:val="20"/>
              </w:rPr>
            </w:pPr>
          </w:p>
        </w:tc>
        <w:tc>
          <w:tcPr>
            <w:tcW w:w="1328" w:type="dxa"/>
            <w:tcBorders>
              <w:top w:val="single" w:sz="4" w:space="0" w:color="000000"/>
              <w:left w:val="single" w:sz="4" w:space="0" w:color="000000"/>
              <w:bottom w:val="single" w:sz="4" w:space="0" w:color="000000"/>
            </w:tcBorders>
          </w:tcPr>
          <w:p w14:paraId="781EC357"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Nekroti-serende fasciitis</w:t>
            </w:r>
            <w:r w:rsidRPr="001278B6">
              <w:rPr>
                <w:snapToGrid w:val="0"/>
                <w:sz w:val="20"/>
                <w:vertAlign w:val="superscript"/>
                <w:lang w:val="da-DK"/>
              </w:rPr>
              <w:t>c</w:t>
            </w:r>
          </w:p>
        </w:tc>
      </w:tr>
      <w:tr w:rsidR="00864D0E" w:rsidRPr="005476B6" w14:paraId="22D3C2E6" w14:textId="77777777" w:rsidTr="00051658">
        <w:trPr>
          <w:cantSplit/>
        </w:trPr>
        <w:tc>
          <w:tcPr>
            <w:tcW w:w="1327" w:type="dxa"/>
            <w:tcBorders>
              <w:top w:val="single" w:sz="4" w:space="0" w:color="000000"/>
              <w:bottom w:val="single" w:sz="4" w:space="0" w:color="000000"/>
              <w:right w:val="single" w:sz="4" w:space="0" w:color="000000"/>
            </w:tcBorders>
          </w:tcPr>
          <w:p w14:paraId="516ED577"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Blod og lymfesystem</w:t>
            </w:r>
          </w:p>
        </w:tc>
        <w:tc>
          <w:tcPr>
            <w:tcW w:w="1327" w:type="dxa"/>
            <w:tcBorders>
              <w:top w:val="single" w:sz="4" w:space="0" w:color="000000"/>
              <w:left w:val="single" w:sz="4" w:space="0" w:color="000000"/>
              <w:bottom w:val="single" w:sz="4" w:space="0" w:color="000000"/>
              <w:right w:val="single" w:sz="4" w:space="0" w:color="000000"/>
            </w:tcBorders>
          </w:tcPr>
          <w:p w14:paraId="24002414" w14:textId="77777777" w:rsidR="00612AFE" w:rsidRPr="00822465" w:rsidRDefault="00473235" w:rsidP="00051658">
            <w:pPr>
              <w:pStyle w:val="TableParagraph"/>
              <w:widowControl/>
              <w:adjustRightInd w:val="0"/>
              <w:snapToGrid w:val="0"/>
              <w:rPr>
                <w:snapToGrid w:val="0"/>
                <w:sz w:val="20"/>
              </w:rPr>
            </w:pPr>
            <w:proofErr w:type="spellStart"/>
            <w:r w:rsidRPr="00822465">
              <w:rPr>
                <w:snapToGrid w:val="0"/>
                <w:sz w:val="20"/>
              </w:rPr>
              <w:t>Febril</w:t>
            </w:r>
            <w:proofErr w:type="spellEnd"/>
            <w:r w:rsidRPr="00822465">
              <w:rPr>
                <w:snapToGrid w:val="0"/>
                <w:sz w:val="20"/>
              </w:rPr>
              <w:t xml:space="preserve"> </w:t>
            </w:r>
            <w:proofErr w:type="spellStart"/>
            <w:r w:rsidRPr="00822465">
              <w:rPr>
                <w:snapToGrid w:val="0"/>
                <w:sz w:val="20"/>
              </w:rPr>
              <w:t>neutropeni</w:t>
            </w:r>
            <w:proofErr w:type="spellEnd"/>
            <w:r w:rsidR="00FE4EF5" w:rsidRPr="00822465">
              <w:rPr>
                <w:snapToGrid w:val="0"/>
                <w:sz w:val="20"/>
              </w:rPr>
              <w:t>,</w:t>
            </w:r>
            <w:r w:rsidRPr="00822465">
              <w:rPr>
                <w:snapToGrid w:val="0"/>
                <w:sz w:val="20"/>
              </w:rPr>
              <w:t xml:space="preserve"> </w:t>
            </w:r>
          </w:p>
          <w:p w14:paraId="3474D1AF" w14:textId="2A2FFBE4" w:rsidR="00612AFE" w:rsidRPr="00822465" w:rsidRDefault="00FE4EF5" w:rsidP="00051658">
            <w:pPr>
              <w:pStyle w:val="TableParagraph"/>
              <w:widowControl/>
              <w:adjustRightInd w:val="0"/>
              <w:snapToGrid w:val="0"/>
              <w:rPr>
                <w:snapToGrid w:val="0"/>
                <w:sz w:val="20"/>
              </w:rPr>
            </w:pPr>
            <w:proofErr w:type="spellStart"/>
            <w:r w:rsidRPr="00822465">
              <w:rPr>
                <w:snapToGrid w:val="0"/>
                <w:sz w:val="20"/>
              </w:rPr>
              <w:t>l</w:t>
            </w:r>
            <w:r w:rsidR="00473235" w:rsidRPr="00822465">
              <w:rPr>
                <w:snapToGrid w:val="0"/>
                <w:sz w:val="20"/>
              </w:rPr>
              <w:t>eukopeni</w:t>
            </w:r>
            <w:proofErr w:type="spellEnd"/>
            <w:r w:rsidRPr="00822465">
              <w:rPr>
                <w:snapToGrid w:val="0"/>
                <w:sz w:val="20"/>
              </w:rPr>
              <w:t>,</w:t>
            </w:r>
            <w:r w:rsidR="00473235" w:rsidRPr="00822465">
              <w:rPr>
                <w:snapToGrid w:val="0"/>
                <w:sz w:val="20"/>
              </w:rPr>
              <w:t xml:space="preserve"> </w:t>
            </w:r>
          </w:p>
          <w:p w14:paraId="009CE5D1" w14:textId="417B7618" w:rsidR="00612AFE" w:rsidRPr="00822465" w:rsidRDefault="00FE4EF5" w:rsidP="00051658">
            <w:pPr>
              <w:pStyle w:val="TableParagraph"/>
              <w:widowControl/>
              <w:adjustRightInd w:val="0"/>
              <w:snapToGrid w:val="0"/>
              <w:rPr>
                <w:snapToGrid w:val="0"/>
                <w:sz w:val="20"/>
              </w:rPr>
            </w:pPr>
            <w:r w:rsidRPr="00822465">
              <w:rPr>
                <w:snapToGrid w:val="0"/>
                <w:sz w:val="20"/>
              </w:rPr>
              <w:t>n</w:t>
            </w:r>
            <w:r w:rsidR="00473235" w:rsidRPr="00822465">
              <w:rPr>
                <w:snapToGrid w:val="0"/>
                <w:sz w:val="20"/>
              </w:rPr>
              <w:t>eutropeni</w:t>
            </w:r>
            <w:r w:rsidR="00473235" w:rsidRPr="00822465">
              <w:rPr>
                <w:snapToGrid w:val="0"/>
                <w:sz w:val="20"/>
                <w:vertAlign w:val="superscript"/>
              </w:rPr>
              <w:t>a</w:t>
            </w:r>
            <w:r w:rsidRPr="00822465">
              <w:rPr>
                <w:snapToGrid w:val="0"/>
                <w:sz w:val="20"/>
              </w:rPr>
              <w:t>,</w:t>
            </w:r>
          </w:p>
          <w:p w14:paraId="1E294218" w14:textId="386E4CF6" w:rsidR="003563EF" w:rsidRPr="00822465" w:rsidRDefault="00FE4EF5" w:rsidP="00051658">
            <w:pPr>
              <w:pStyle w:val="TableParagraph"/>
              <w:widowControl/>
              <w:adjustRightInd w:val="0"/>
              <w:snapToGrid w:val="0"/>
              <w:rPr>
                <w:snapToGrid w:val="0"/>
                <w:sz w:val="20"/>
              </w:rPr>
            </w:pPr>
            <w:proofErr w:type="spellStart"/>
            <w:r w:rsidRPr="00822465">
              <w:rPr>
                <w:snapToGrid w:val="0"/>
                <w:sz w:val="20"/>
              </w:rPr>
              <w:t>t</w:t>
            </w:r>
            <w:r w:rsidR="00473235" w:rsidRPr="00822465">
              <w:rPr>
                <w:snapToGrid w:val="0"/>
                <w:sz w:val="20"/>
              </w:rPr>
              <w:t>rombo-cytopeni</w:t>
            </w:r>
            <w:proofErr w:type="spellEnd"/>
          </w:p>
        </w:tc>
        <w:tc>
          <w:tcPr>
            <w:tcW w:w="1328" w:type="dxa"/>
            <w:tcBorders>
              <w:top w:val="single" w:sz="4" w:space="0" w:color="000000"/>
              <w:left w:val="single" w:sz="4" w:space="0" w:color="000000"/>
              <w:bottom w:val="single" w:sz="4" w:space="0" w:color="000000"/>
              <w:right w:val="single" w:sz="4" w:space="0" w:color="000000"/>
            </w:tcBorders>
          </w:tcPr>
          <w:p w14:paraId="2FD94AEB" w14:textId="77777777" w:rsidR="00D1000E" w:rsidRDefault="00473235" w:rsidP="00051658">
            <w:pPr>
              <w:pStyle w:val="TableParagraph"/>
              <w:widowControl/>
              <w:adjustRightInd w:val="0"/>
              <w:snapToGrid w:val="0"/>
              <w:rPr>
                <w:snapToGrid w:val="0"/>
                <w:sz w:val="20"/>
                <w:lang w:val="da-DK"/>
              </w:rPr>
            </w:pPr>
            <w:r w:rsidRPr="001278B6">
              <w:rPr>
                <w:snapToGrid w:val="0"/>
                <w:sz w:val="20"/>
                <w:lang w:val="da-DK"/>
              </w:rPr>
              <w:t>Anæmi</w:t>
            </w:r>
            <w:r w:rsidR="00FE4EF5">
              <w:rPr>
                <w:snapToGrid w:val="0"/>
                <w:sz w:val="20"/>
                <w:lang w:val="da-DK"/>
              </w:rPr>
              <w:t xml:space="preserve">, </w:t>
            </w:r>
          </w:p>
          <w:p w14:paraId="3E1BE131" w14:textId="7A8B55D3" w:rsidR="003563EF" w:rsidRPr="001278B6" w:rsidRDefault="00FE4EF5" w:rsidP="00051658">
            <w:pPr>
              <w:pStyle w:val="TableParagraph"/>
              <w:widowControl/>
              <w:adjustRightInd w:val="0"/>
              <w:snapToGrid w:val="0"/>
              <w:rPr>
                <w:snapToGrid w:val="0"/>
                <w:sz w:val="20"/>
                <w:lang w:val="da-DK"/>
              </w:rPr>
            </w:pPr>
            <w:r>
              <w:rPr>
                <w:snapToGrid w:val="0"/>
                <w:sz w:val="20"/>
                <w:lang w:val="da-DK"/>
              </w:rPr>
              <w:t>l</w:t>
            </w:r>
            <w:r w:rsidR="00473235" w:rsidRPr="001278B6">
              <w:rPr>
                <w:snapToGrid w:val="0"/>
                <w:sz w:val="20"/>
                <w:lang w:val="da-DK"/>
              </w:rPr>
              <w:t>ymfopeni</w:t>
            </w:r>
          </w:p>
        </w:tc>
        <w:tc>
          <w:tcPr>
            <w:tcW w:w="1327" w:type="dxa"/>
            <w:tcBorders>
              <w:top w:val="single" w:sz="4" w:space="0" w:color="000000"/>
              <w:left w:val="single" w:sz="4" w:space="0" w:color="000000"/>
              <w:bottom w:val="single" w:sz="4" w:space="0" w:color="000000"/>
              <w:right w:val="single" w:sz="4" w:space="0" w:color="000000"/>
            </w:tcBorders>
          </w:tcPr>
          <w:p w14:paraId="4E9ADF64"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2678E588"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070A62F5"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34830E99" w14:textId="77777777" w:rsidR="003563EF" w:rsidRPr="001278B6" w:rsidRDefault="003563EF" w:rsidP="003C1C0B">
            <w:pPr>
              <w:pStyle w:val="TableParagraph"/>
              <w:widowControl/>
              <w:adjustRightInd w:val="0"/>
              <w:snapToGrid w:val="0"/>
              <w:rPr>
                <w:snapToGrid w:val="0"/>
                <w:sz w:val="20"/>
                <w:lang w:val="da-DK"/>
              </w:rPr>
            </w:pPr>
          </w:p>
        </w:tc>
      </w:tr>
      <w:tr w:rsidR="00612AFE" w:rsidRPr="00822465" w14:paraId="18B13F1A" w14:textId="77777777" w:rsidTr="00051658">
        <w:trPr>
          <w:cantSplit/>
          <w:trHeight w:val="1220"/>
        </w:trPr>
        <w:tc>
          <w:tcPr>
            <w:tcW w:w="1327" w:type="dxa"/>
            <w:tcBorders>
              <w:top w:val="single" w:sz="4" w:space="0" w:color="000000"/>
              <w:right w:val="single" w:sz="4" w:space="0" w:color="000000"/>
            </w:tcBorders>
          </w:tcPr>
          <w:p w14:paraId="30E8B7B0" w14:textId="77777777" w:rsidR="000D5773" w:rsidRPr="001278B6" w:rsidRDefault="000D5773" w:rsidP="003C1C0B">
            <w:pPr>
              <w:pStyle w:val="TableParagraph"/>
              <w:widowControl/>
              <w:adjustRightInd w:val="0"/>
              <w:snapToGrid w:val="0"/>
              <w:rPr>
                <w:snapToGrid w:val="0"/>
                <w:sz w:val="20"/>
                <w:lang w:val="da-DK"/>
              </w:rPr>
            </w:pPr>
            <w:r w:rsidRPr="001278B6">
              <w:rPr>
                <w:snapToGrid w:val="0"/>
                <w:sz w:val="20"/>
                <w:lang w:val="da-DK"/>
              </w:rPr>
              <w:t>Immun-systemet</w:t>
            </w:r>
          </w:p>
        </w:tc>
        <w:tc>
          <w:tcPr>
            <w:tcW w:w="1327" w:type="dxa"/>
            <w:tcBorders>
              <w:top w:val="single" w:sz="4" w:space="0" w:color="000000"/>
              <w:left w:val="single" w:sz="4" w:space="0" w:color="000000"/>
              <w:bottom w:val="single" w:sz="4" w:space="0" w:color="000000"/>
              <w:right w:val="single" w:sz="4" w:space="0" w:color="000000"/>
            </w:tcBorders>
          </w:tcPr>
          <w:p w14:paraId="6ADBB560" w14:textId="77777777" w:rsidR="000D5773" w:rsidRPr="001278B6" w:rsidRDefault="000D5773"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416BFC9E" w14:textId="77777777" w:rsidR="00CC5052" w:rsidRPr="005476B6" w:rsidRDefault="00CC5052" w:rsidP="00CC5052">
            <w:pPr>
              <w:pStyle w:val="TableParagraph"/>
              <w:widowControl/>
              <w:adjustRightInd w:val="0"/>
              <w:snapToGrid w:val="0"/>
              <w:rPr>
                <w:snapToGrid w:val="0"/>
                <w:sz w:val="20"/>
                <w:lang w:val="da-DK"/>
              </w:rPr>
            </w:pPr>
            <w:r w:rsidRPr="001278B6">
              <w:rPr>
                <w:snapToGrid w:val="0"/>
                <w:sz w:val="20"/>
                <w:lang w:val="da-DK"/>
              </w:rPr>
              <w:t>Overføl-sømhed</w:t>
            </w:r>
            <w:r>
              <w:rPr>
                <w:snapToGrid w:val="0"/>
                <w:sz w:val="20"/>
                <w:lang w:val="da-DK"/>
              </w:rPr>
              <w:t xml:space="preserve">, </w:t>
            </w:r>
          </w:p>
          <w:p w14:paraId="09CA06EF" w14:textId="66C70752" w:rsidR="000D5773" w:rsidRPr="001278B6" w:rsidRDefault="00CC5052" w:rsidP="00CC5052">
            <w:pPr>
              <w:pStyle w:val="TableParagraph"/>
              <w:widowControl/>
              <w:adjustRightInd w:val="0"/>
              <w:snapToGrid w:val="0"/>
              <w:rPr>
                <w:snapToGrid w:val="0"/>
                <w:sz w:val="20"/>
                <w:lang w:val="da-DK"/>
              </w:rPr>
            </w:pPr>
            <w:r>
              <w:rPr>
                <w:snapToGrid w:val="0"/>
                <w:sz w:val="20"/>
                <w:lang w:val="da-DK"/>
              </w:rPr>
              <w:t>i</w:t>
            </w:r>
            <w:r w:rsidRPr="001278B6">
              <w:rPr>
                <w:snapToGrid w:val="0"/>
                <w:sz w:val="20"/>
                <w:lang w:val="da-DK"/>
              </w:rPr>
              <w:t>nfusions-reaktioner</w:t>
            </w:r>
            <w:r>
              <w:rPr>
                <w:snapToGrid w:val="0"/>
                <w:sz w:val="20"/>
                <w:lang w:val="da-DK"/>
              </w:rPr>
              <w:t xml:space="preserve"> </w:t>
            </w:r>
            <w:r w:rsidRPr="001278B6">
              <w:rPr>
                <w:snapToGrid w:val="0"/>
                <w:sz w:val="20"/>
                <w:vertAlign w:val="superscript"/>
                <w:lang w:val="da-DK"/>
              </w:rPr>
              <w:t>a,b,c</w:t>
            </w:r>
          </w:p>
        </w:tc>
        <w:tc>
          <w:tcPr>
            <w:tcW w:w="1327" w:type="dxa"/>
            <w:tcBorders>
              <w:top w:val="single" w:sz="4" w:space="0" w:color="000000"/>
              <w:left w:val="single" w:sz="4" w:space="0" w:color="000000"/>
              <w:bottom w:val="single" w:sz="4" w:space="0" w:color="000000"/>
              <w:right w:val="single" w:sz="4" w:space="0" w:color="000000"/>
            </w:tcBorders>
          </w:tcPr>
          <w:p w14:paraId="2678B766" w14:textId="77777777" w:rsidR="000D5773" w:rsidRPr="001278B6" w:rsidRDefault="000D5773"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00207CDB" w14:textId="772CCE90" w:rsidR="000D5773" w:rsidRPr="001278B6" w:rsidRDefault="00667130" w:rsidP="00667130">
            <w:pPr>
              <w:pStyle w:val="TableParagraph"/>
              <w:widowControl/>
              <w:adjustRightInd w:val="0"/>
              <w:snapToGrid w:val="0"/>
              <w:rPr>
                <w:snapToGrid w:val="0"/>
                <w:sz w:val="20"/>
                <w:lang w:val="da-DK"/>
              </w:rPr>
            </w:pPr>
            <w:r w:rsidRPr="00667130">
              <w:rPr>
                <w:snapToGrid w:val="0"/>
                <w:sz w:val="20"/>
                <w:lang w:val="da-DK"/>
              </w:rPr>
              <w:t>Anafylaktisk</w:t>
            </w:r>
            <w:r>
              <w:rPr>
                <w:snapToGrid w:val="0"/>
                <w:sz w:val="20"/>
                <w:lang w:val="da-DK"/>
              </w:rPr>
              <w:t xml:space="preserve"> </w:t>
            </w:r>
            <w:r w:rsidRPr="00667130">
              <w:rPr>
                <w:snapToGrid w:val="0"/>
                <w:sz w:val="20"/>
                <w:lang w:val="da-DK"/>
              </w:rPr>
              <w:t>shock</w:t>
            </w:r>
          </w:p>
        </w:tc>
        <w:tc>
          <w:tcPr>
            <w:tcW w:w="1327" w:type="dxa"/>
            <w:tcBorders>
              <w:top w:val="single" w:sz="4" w:space="0" w:color="000000"/>
              <w:left w:val="single" w:sz="4" w:space="0" w:color="000000"/>
              <w:bottom w:val="single" w:sz="4" w:space="0" w:color="000000"/>
              <w:right w:val="single" w:sz="4" w:space="0" w:color="000000"/>
            </w:tcBorders>
          </w:tcPr>
          <w:p w14:paraId="796284E5" w14:textId="77777777" w:rsidR="000D5773" w:rsidRPr="001278B6" w:rsidRDefault="000D5773"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tcBorders>
          </w:tcPr>
          <w:p w14:paraId="03741E0B" w14:textId="148C86DA" w:rsidR="000D5773" w:rsidRPr="001278B6" w:rsidRDefault="000D5773" w:rsidP="00051658">
            <w:pPr>
              <w:pStyle w:val="TableParagraph"/>
              <w:widowControl/>
              <w:adjustRightInd w:val="0"/>
              <w:snapToGrid w:val="0"/>
              <w:rPr>
                <w:snapToGrid w:val="0"/>
                <w:sz w:val="20"/>
                <w:vertAlign w:val="superscript"/>
                <w:lang w:val="da-DK"/>
              </w:rPr>
            </w:pPr>
          </w:p>
        </w:tc>
      </w:tr>
      <w:tr w:rsidR="00864D0E" w:rsidRPr="005476B6" w14:paraId="104E7C96" w14:textId="77777777" w:rsidTr="00051658">
        <w:trPr>
          <w:cantSplit/>
        </w:trPr>
        <w:tc>
          <w:tcPr>
            <w:tcW w:w="1327" w:type="dxa"/>
            <w:tcBorders>
              <w:top w:val="single" w:sz="4" w:space="0" w:color="000000"/>
              <w:bottom w:val="single" w:sz="4" w:space="0" w:color="000000"/>
              <w:right w:val="single" w:sz="4" w:space="0" w:color="000000"/>
            </w:tcBorders>
          </w:tcPr>
          <w:p w14:paraId="62CE7746"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Meta-bolisme og ernæring</w:t>
            </w:r>
          </w:p>
        </w:tc>
        <w:tc>
          <w:tcPr>
            <w:tcW w:w="1327" w:type="dxa"/>
            <w:tcBorders>
              <w:top w:val="single" w:sz="4" w:space="0" w:color="000000"/>
              <w:left w:val="single" w:sz="4" w:space="0" w:color="000000"/>
              <w:bottom w:val="single" w:sz="4" w:space="0" w:color="000000"/>
              <w:right w:val="single" w:sz="4" w:space="0" w:color="000000"/>
            </w:tcBorders>
          </w:tcPr>
          <w:p w14:paraId="25C2A66D"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37776FF3"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Dehydrering</w:t>
            </w:r>
          </w:p>
          <w:p w14:paraId="7C0E9AA2" w14:textId="1AD27CBD" w:rsidR="003563EF" w:rsidRPr="001278B6" w:rsidRDefault="00FE4EF5" w:rsidP="00051658">
            <w:pPr>
              <w:pStyle w:val="TableParagraph"/>
              <w:widowControl/>
              <w:adjustRightInd w:val="0"/>
              <w:snapToGrid w:val="0"/>
              <w:rPr>
                <w:snapToGrid w:val="0"/>
                <w:sz w:val="20"/>
                <w:lang w:val="da-DK"/>
              </w:rPr>
            </w:pPr>
            <w:r>
              <w:rPr>
                <w:snapToGrid w:val="0"/>
                <w:sz w:val="20"/>
                <w:lang w:val="da-DK"/>
              </w:rPr>
              <w:t>, h</w:t>
            </w:r>
            <w:r w:rsidR="00473235" w:rsidRPr="001278B6">
              <w:rPr>
                <w:snapToGrid w:val="0"/>
                <w:sz w:val="20"/>
                <w:lang w:val="da-DK"/>
              </w:rPr>
              <w:t>ypo-natriæmi</w:t>
            </w:r>
          </w:p>
        </w:tc>
        <w:tc>
          <w:tcPr>
            <w:tcW w:w="1327" w:type="dxa"/>
            <w:tcBorders>
              <w:top w:val="single" w:sz="4" w:space="0" w:color="000000"/>
              <w:left w:val="single" w:sz="4" w:space="0" w:color="000000"/>
              <w:bottom w:val="single" w:sz="4" w:space="0" w:color="000000"/>
              <w:right w:val="single" w:sz="4" w:space="0" w:color="000000"/>
            </w:tcBorders>
          </w:tcPr>
          <w:p w14:paraId="574F457E"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1729CA5E"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39453896"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2F98B46D" w14:textId="77777777" w:rsidR="003563EF" w:rsidRPr="001278B6" w:rsidRDefault="003563EF" w:rsidP="003C1C0B">
            <w:pPr>
              <w:pStyle w:val="TableParagraph"/>
              <w:widowControl/>
              <w:adjustRightInd w:val="0"/>
              <w:snapToGrid w:val="0"/>
              <w:rPr>
                <w:snapToGrid w:val="0"/>
                <w:sz w:val="20"/>
                <w:lang w:val="da-DK"/>
              </w:rPr>
            </w:pPr>
          </w:p>
        </w:tc>
      </w:tr>
      <w:tr w:rsidR="00864D0E" w:rsidRPr="003C63FB" w14:paraId="460F0889" w14:textId="77777777" w:rsidTr="00051658">
        <w:trPr>
          <w:cantSplit/>
          <w:trHeight w:val="1601"/>
        </w:trPr>
        <w:tc>
          <w:tcPr>
            <w:tcW w:w="1327" w:type="dxa"/>
            <w:tcBorders>
              <w:top w:val="single" w:sz="4" w:space="0" w:color="000000"/>
              <w:right w:val="single" w:sz="4" w:space="0" w:color="000000"/>
            </w:tcBorders>
          </w:tcPr>
          <w:p w14:paraId="2E0E48CE" w14:textId="77777777" w:rsidR="00A03FE9" w:rsidRPr="001278B6" w:rsidRDefault="00A03FE9" w:rsidP="003C1C0B">
            <w:pPr>
              <w:pStyle w:val="TableParagraph"/>
              <w:widowControl/>
              <w:adjustRightInd w:val="0"/>
              <w:snapToGrid w:val="0"/>
              <w:rPr>
                <w:snapToGrid w:val="0"/>
                <w:sz w:val="20"/>
                <w:lang w:val="da-DK"/>
              </w:rPr>
            </w:pPr>
            <w:r w:rsidRPr="001278B6">
              <w:rPr>
                <w:snapToGrid w:val="0"/>
                <w:sz w:val="20"/>
                <w:lang w:val="da-DK"/>
              </w:rPr>
              <w:t>Nerve-systemet</w:t>
            </w:r>
          </w:p>
        </w:tc>
        <w:tc>
          <w:tcPr>
            <w:tcW w:w="1327" w:type="dxa"/>
            <w:tcBorders>
              <w:top w:val="single" w:sz="4" w:space="0" w:color="000000"/>
              <w:left w:val="single" w:sz="4" w:space="0" w:color="000000"/>
              <w:right w:val="single" w:sz="4" w:space="0" w:color="000000"/>
            </w:tcBorders>
          </w:tcPr>
          <w:p w14:paraId="750BD728" w14:textId="77777777" w:rsidR="00A03FE9" w:rsidRPr="001278B6" w:rsidRDefault="00A03FE9" w:rsidP="00051658">
            <w:pPr>
              <w:pStyle w:val="TableParagraph"/>
              <w:widowControl/>
              <w:adjustRightInd w:val="0"/>
              <w:snapToGrid w:val="0"/>
              <w:rPr>
                <w:snapToGrid w:val="0"/>
                <w:sz w:val="20"/>
                <w:lang w:val="da-DK"/>
              </w:rPr>
            </w:pPr>
            <w:r w:rsidRPr="001278B6">
              <w:rPr>
                <w:snapToGrid w:val="0"/>
                <w:sz w:val="20"/>
                <w:lang w:val="da-DK"/>
              </w:rPr>
              <w:t>Perifer</w:t>
            </w:r>
            <w:r>
              <w:rPr>
                <w:snapToGrid w:val="0"/>
                <w:sz w:val="20"/>
                <w:lang w:val="da-DK"/>
              </w:rPr>
              <w:t xml:space="preserve"> </w:t>
            </w:r>
            <w:r w:rsidRPr="001278B6">
              <w:rPr>
                <w:snapToGrid w:val="0"/>
                <w:sz w:val="20"/>
                <w:lang w:val="da-DK"/>
              </w:rPr>
              <w:t>sensorisk</w:t>
            </w:r>
            <w:r>
              <w:rPr>
                <w:snapToGrid w:val="0"/>
                <w:sz w:val="20"/>
                <w:lang w:val="da-DK"/>
              </w:rPr>
              <w:t xml:space="preserve"> </w:t>
            </w:r>
            <w:r w:rsidRPr="001278B6">
              <w:rPr>
                <w:snapToGrid w:val="0"/>
                <w:sz w:val="20"/>
                <w:lang w:val="da-DK"/>
              </w:rPr>
              <w:t>neuropati</w:t>
            </w:r>
            <w:r w:rsidRPr="001278B6">
              <w:rPr>
                <w:snapToGrid w:val="0"/>
                <w:sz w:val="20"/>
                <w:vertAlign w:val="superscript"/>
                <w:lang w:val="da-DK"/>
              </w:rPr>
              <w:t>a</w:t>
            </w:r>
          </w:p>
        </w:tc>
        <w:tc>
          <w:tcPr>
            <w:tcW w:w="1328" w:type="dxa"/>
            <w:tcBorders>
              <w:top w:val="single" w:sz="4" w:space="0" w:color="000000"/>
              <w:left w:val="single" w:sz="4" w:space="0" w:color="000000"/>
              <w:right w:val="single" w:sz="4" w:space="0" w:color="000000"/>
            </w:tcBorders>
          </w:tcPr>
          <w:p w14:paraId="624A0EF1" w14:textId="77777777" w:rsidR="00A03FE9" w:rsidRPr="00A03FE9" w:rsidRDefault="00A03FE9" w:rsidP="00051658">
            <w:pPr>
              <w:pStyle w:val="TableParagraph"/>
              <w:widowControl/>
              <w:adjustRightInd w:val="0"/>
              <w:snapToGrid w:val="0"/>
              <w:rPr>
                <w:snapToGrid w:val="0"/>
                <w:sz w:val="20"/>
                <w:lang w:val="da-DK"/>
              </w:rPr>
            </w:pPr>
            <w:r w:rsidRPr="001278B6">
              <w:rPr>
                <w:snapToGrid w:val="0"/>
                <w:sz w:val="20"/>
                <w:lang w:val="da-DK"/>
              </w:rPr>
              <w:t>Cerebro-vaskulære</w:t>
            </w:r>
            <w:r>
              <w:rPr>
                <w:snapToGrid w:val="0"/>
                <w:sz w:val="20"/>
                <w:lang w:val="da-DK"/>
              </w:rPr>
              <w:t xml:space="preserve"> </w:t>
            </w:r>
            <w:r w:rsidRPr="001278B6">
              <w:rPr>
                <w:snapToGrid w:val="0"/>
                <w:sz w:val="20"/>
                <w:lang w:val="da-DK"/>
              </w:rPr>
              <w:t>tilfælde</w:t>
            </w:r>
            <w:r w:rsidR="00A769A8">
              <w:rPr>
                <w:snapToGrid w:val="0"/>
                <w:sz w:val="20"/>
                <w:lang w:val="da-DK"/>
              </w:rPr>
              <w:t xml:space="preserve">, </w:t>
            </w:r>
          </w:p>
          <w:p w14:paraId="4E2C25AB" w14:textId="18081A9B" w:rsidR="00A03FE9" w:rsidRPr="00A03FE9" w:rsidRDefault="00A769A8" w:rsidP="00051658">
            <w:pPr>
              <w:pStyle w:val="TableParagraph"/>
              <w:widowControl/>
              <w:adjustRightInd w:val="0"/>
              <w:snapToGrid w:val="0"/>
              <w:rPr>
                <w:snapToGrid w:val="0"/>
                <w:sz w:val="20"/>
                <w:lang w:val="da-DK"/>
              </w:rPr>
            </w:pPr>
            <w:r>
              <w:rPr>
                <w:snapToGrid w:val="0"/>
                <w:sz w:val="20"/>
                <w:lang w:val="da-DK"/>
              </w:rPr>
              <w:t>s</w:t>
            </w:r>
            <w:r w:rsidR="00A03FE9" w:rsidRPr="001278B6">
              <w:rPr>
                <w:snapToGrid w:val="0"/>
                <w:sz w:val="20"/>
                <w:lang w:val="da-DK"/>
              </w:rPr>
              <w:t>ynkope</w:t>
            </w:r>
            <w:r>
              <w:rPr>
                <w:snapToGrid w:val="0"/>
                <w:sz w:val="20"/>
                <w:lang w:val="da-DK"/>
              </w:rPr>
              <w:t xml:space="preserve">, </w:t>
            </w:r>
          </w:p>
          <w:p w14:paraId="0EADDD1A" w14:textId="09F16BC7" w:rsidR="00A03FE9" w:rsidRPr="00A03FE9" w:rsidRDefault="00A769A8" w:rsidP="00051658">
            <w:pPr>
              <w:pStyle w:val="TableParagraph"/>
              <w:widowControl/>
              <w:adjustRightInd w:val="0"/>
              <w:snapToGrid w:val="0"/>
              <w:rPr>
                <w:snapToGrid w:val="0"/>
                <w:sz w:val="20"/>
                <w:lang w:val="da-DK"/>
              </w:rPr>
            </w:pPr>
            <w:r>
              <w:rPr>
                <w:snapToGrid w:val="0"/>
                <w:sz w:val="20"/>
                <w:lang w:val="da-DK"/>
              </w:rPr>
              <w:t>s</w:t>
            </w:r>
            <w:r w:rsidR="00A03FE9" w:rsidRPr="001278B6">
              <w:rPr>
                <w:snapToGrid w:val="0"/>
                <w:sz w:val="20"/>
                <w:lang w:val="da-DK"/>
              </w:rPr>
              <w:t>øvnighed</w:t>
            </w:r>
            <w:r>
              <w:rPr>
                <w:snapToGrid w:val="0"/>
                <w:sz w:val="20"/>
                <w:lang w:val="da-DK"/>
              </w:rPr>
              <w:t xml:space="preserve">, </w:t>
            </w:r>
          </w:p>
          <w:p w14:paraId="3F07E8F7" w14:textId="0DC05F01" w:rsidR="00A03FE9" w:rsidRPr="001278B6" w:rsidRDefault="00A769A8" w:rsidP="00051658">
            <w:pPr>
              <w:pStyle w:val="TableParagraph"/>
              <w:adjustRightInd w:val="0"/>
              <w:snapToGrid w:val="0"/>
              <w:rPr>
                <w:snapToGrid w:val="0"/>
                <w:sz w:val="20"/>
                <w:lang w:val="da-DK"/>
              </w:rPr>
            </w:pPr>
            <w:r>
              <w:rPr>
                <w:snapToGrid w:val="0"/>
                <w:sz w:val="20"/>
                <w:lang w:val="da-DK"/>
              </w:rPr>
              <w:t>h</w:t>
            </w:r>
            <w:r w:rsidR="00A03FE9" w:rsidRPr="001278B6">
              <w:rPr>
                <w:snapToGrid w:val="0"/>
                <w:sz w:val="20"/>
                <w:lang w:val="da-DK"/>
              </w:rPr>
              <w:t>ovedpine</w:t>
            </w:r>
          </w:p>
        </w:tc>
        <w:tc>
          <w:tcPr>
            <w:tcW w:w="1327" w:type="dxa"/>
            <w:tcBorders>
              <w:top w:val="single" w:sz="4" w:space="0" w:color="000000"/>
              <w:left w:val="single" w:sz="4" w:space="0" w:color="000000"/>
              <w:bottom w:val="single" w:sz="4" w:space="0" w:color="000000"/>
              <w:right w:val="single" w:sz="4" w:space="0" w:color="000000"/>
            </w:tcBorders>
          </w:tcPr>
          <w:p w14:paraId="2D812040" w14:textId="77777777" w:rsidR="00A03FE9" w:rsidRPr="001278B6" w:rsidRDefault="00A03FE9"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4DBF0CE4" w14:textId="77777777" w:rsidR="00A03FE9" w:rsidRPr="001278B6" w:rsidRDefault="00A03FE9"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355E7845" w14:textId="77777777" w:rsidR="00A03FE9" w:rsidRPr="001278B6" w:rsidRDefault="00A03FE9"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tcBorders>
          </w:tcPr>
          <w:p w14:paraId="1D2F9E62" w14:textId="77777777" w:rsidR="00AB0901" w:rsidRDefault="00A03FE9" w:rsidP="00051658">
            <w:pPr>
              <w:pStyle w:val="TableParagraph"/>
              <w:widowControl/>
              <w:adjustRightInd w:val="0"/>
              <w:snapToGrid w:val="0"/>
              <w:rPr>
                <w:snapToGrid w:val="0"/>
                <w:sz w:val="20"/>
                <w:lang w:val="da-DK"/>
              </w:rPr>
            </w:pPr>
            <w:r w:rsidRPr="001278B6">
              <w:rPr>
                <w:snapToGrid w:val="0"/>
                <w:sz w:val="20"/>
                <w:lang w:val="da-DK"/>
              </w:rPr>
              <w:t>Posteriort</w:t>
            </w:r>
            <w:r>
              <w:rPr>
                <w:snapToGrid w:val="0"/>
                <w:sz w:val="20"/>
                <w:lang w:val="da-DK"/>
              </w:rPr>
              <w:t xml:space="preserve"> </w:t>
            </w:r>
            <w:r w:rsidRPr="001278B6">
              <w:rPr>
                <w:snapToGrid w:val="0"/>
                <w:sz w:val="20"/>
                <w:lang w:val="da-DK"/>
              </w:rPr>
              <w:t>reversibelt</w:t>
            </w:r>
            <w:r>
              <w:rPr>
                <w:snapToGrid w:val="0"/>
                <w:sz w:val="20"/>
                <w:lang w:val="da-DK"/>
              </w:rPr>
              <w:t xml:space="preserve"> </w:t>
            </w:r>
            <w:r w:rsidRPr="001278B6">
              <w:rPr>
                <w:snapToGrid w:val="0"/>
                <w:sz w:val="20"/>
                <w:lang w:val="da-DK"/>
              </w:rPr>
              <w:t>encefalo-</w:t>
            </w:r>
          </w:p>
          <w:p w14:paraId="1185FDB3" w14:textId="3613FBD6" w:rsidR="00A03FE9" w:rsidRPr="00A03FE9" w:rsidRDefault="00A03FE9" w:rsidP="00051658">
            <w:pPr>
              <w:pStyle w:val="TableParagraph"/>
              <w:widowControl/>
              <w:adjustRightInd w:val="0"/>
              <w:snapToGrid w:val="0"/>
              <w:rPr>
                <w:snapToGrid w:val="0"/>
                <w:sz w:val="20"/>
                <w:lang w:val="da-DK"/>
              </w:rPr>
            </w:pPr>
            <w:r w:rsidRPr="001278B6">
              <w:rPr>
                <w:snapToGrid w:val="0"/>
                <w:sz w:val="20"/>
                <w:lang w:val="da-DK"/>
              </w:rPr>
              <w:t>pati</w:t>
            </w:r>
            <w:r w:rsidR="00AB0901">
              <w:rPr>
                <w:snapToGrid w:val="0"/>
                <w:sz w:val="20"/>
                <w:lang w:val="da-DK"/>
              </w:rPr>
              <w:t xml:space="preserve"> </w:t>
            </w:r>
            <w:r w:rsidRPr="001278B6">
              <w:rPr>
                <w:snapToGrid w:val="0"/>
                <w:sz w:val="20"/>
                <w:lang w:val="da-DK"/>
              </w:rPr>
              <w:t>syndrom</w:t>
            </w:r>
            <w:r w:rsidRPr="001278B6">
              <w:rPr>
                <w:snapToGrid w:val="0"/>
                <w:sz w:val="20"/>
                <w:vertAlign w:val="superscript"/>
                <w:lang w:val="da-DK"/>
              </w:rPr>
              <w:t>a.b.c</w:t>
            </w:r>
          </w:p>
          <w:p w14:paraId="5C6266CF" w14:textId="1E9DCB97" w:rsidR="00A03FE9" w:rsidRPr="001278B6" w:rsidRDefault="00A769A8" w:rsidP="00051658">
            <w:pPr>
              <w:pStyle w:val="TableParagraph"/>
              <w:widowControl/>
              <w:adjustRightInd w:val="0"/>
              <w:snapToGrid w:val="0"/>
              <w:rPr>
                <w:snapToGrid w:val="0"/>
                <w:sz w:val="20"/>
                <w:lang w:val="da-DK"/>
              </w:rPr>
            </w:pPr>
            <w:r>
              <w:rPr>
                <w:snapToGrid w:val="0"/>
                <w:sz w:val="20"/>
                <w:lang w:val="da-DK"/>
              </w:rPr>
              <w:t>, h</w:t>
            </w:r>
            <w:r w:rsidR="00A03FE9" w:rsidRPr="001278B6">
              <w:rPr>
                <w:snapToGrid w:val="0"/>
                <w:sz w:val="20"/>
                <w:lang w:val="da-DK"/>
              </w:rPr>
              <w:t>yper-tensiv</w:t>
            </w:r>
            <w:r w:rsidR="00A03FE9">
              <w:rPr>
                <w:snapToGrid w:val="0"/>
                <w:sz w:val="20"/>
                <w:lang w:val="da-DK"/>
              </w:rPr>
              <w:t xml:space="preserve"> </w:t>
            </w:r>
            <w:r w:rsidR="00A03FE9" w:rsidRPr="001278B6">
              <w:rPr>
                <w:snapToGrid w:val="0"/>
                <w:sz w:val="20"/>
                <w:lang w:val="da-DK"/>
              </w:rPr>
              <w:t>encefalopati</w:t>
            </w:r>
            <w:r w:rsidR="00A03FE9" w:rsidRPr="001278B6">
              <w:rPr>
                <w:snapToGrid w:val="0"/>
                <w:sz w:val="20"/>
                <w:vertAlign w:val="superscript"/>
                <w:lang w:val="da-DK"/>
              </w:rPr>
              <w:t>c</w:t>
            </w:r>
          </w:p>
        </w:tc>
      </w:tr>
      <w:tr w:rsidR="00864D0E" w:rsidRPr="00747393" w14:paraId="28353F50" w14:textId="77777777" w:rsidTr="00051658">
        <w:trPr>
          <w:cantSplit/>
        </w:trPr>
        <w:tc>
          <w:tcPr>
            <w:tcW w:w="1327" w:type="dxa"/>
            <w:tcBorders>
              <w:top w:val="single" w:sz="4" w:space="0" w:color="000000"/>
              <w:bottom w:val="single" w:sz="4" w:space="0" w:color="000000"/>
              <w:right w:val="single" w:sz="4" w:space="0" w:color="000000"/>
            </w:tcBorders>
          </w:tcPr>
          <w:p w14:paraId="49C75AD7"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Hjerte</w:t>
            </w:r>
          </w:p>
        </w:tc>
        <w:tc>
          <w:tcPr>
            <w:tcW w:w="1327" w:type="dxa"/>
            <w:tcBorders>
              <w:top w:val="single" w:sz="4" w:space="0" w:color="000000"/>
              <w:left w:val="single" w:sz="4" w:space="0" w:color="000000"/>
              <w:bottom w:val="single" w:sz="4" w:space="0" w:color="000000"/>
              <w:right w:val="single" w:sz="4" w:space="0" w:color="000000"/>
            </w:tcBorders>
          </w:tcPr>
          <w:p w14:paraId="7FF4D998"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6F4CA735" w14:textId="77777777" w:rsidR="0068278D" w:rsidRDefault="00473235" w:rsidP="00051658">
            <w:pPr>
              <w:pStyle w:val="TableParagraph"/>
              <w:widowControl/>
              <w:adjustRightInd w:val="0"/>
              <w:snapToGrid w:val="0"/>
              <w:rPr>
                <w:snapToGrid w:val="0"/>
                <w:sz w:val="20"/>
                <w:vertAlign w:val="superscript"/>
                <w:lang w:val="da-DK"/>
              </w:rPr>
            </w:pPr>
            <w:r w:rsidRPr="001278B6">
              <w:rPr>
                <w:snapToGrid w:val="0"/>
                <w:sz w:val="20"/>
                <w:lang w:val="da-DK"/>
              </w:rPr>
              <w:t>Kongestivt hjertesvigt</w:t>
            </w:r>
            <w:r w:rsidRPr="001278B6">
              <w:rPr>
                <w:snapToGrid w:val="0"/>
                <w:sz w:val="20"/>
                <w:vertAlign w:val="superscript"/>
                <w:lang w:val="da-DK"/>
              </w:rPr>
              <w:t>a,b</w:t>
            </w:r>
            <w:r w:rsidR="00A769A8" w:rsidRPr="00F466A3">
              <w:rPr>
                <w:snapToGrid w:val="0"/>
                <w:sz w:val="20"/>
                <w:lang w:val="da-DK"/>
              </w:rPr>
              <w:t xml:space="preserve">, </w:t>
            </w:r>
          </w:p>
          <w:p w14:paraId="6AB79A5B" w14:textId="26982398" w:rsidR="003563EF" w:rsidRPr="001278B6" w:rsidRDefault="00A769A8"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upra-ventrikulær</w:t>
            </w:r>
            <w:r w:rsidR="00A14901">
              <w:rPr>
                <w:snapToGrid w:val="0"/>
                <w:sz w:val="20"/>
                <w:lang w:val="da-DK"/>
              </w:rPr>
              <w:t xml:space="preserve"> </w:t>
            </w:r>
            <w:r w:rsidR="00473235" w:rsidRPr="001278B6">
              <w:rPr>
                <w:snapToGrid w:val="0"/>
                <w:sz w:val="20"/>
                <w:lang w:val="da-DK"/>
              </w:rPr>
              <w:t>takykardi</w:t>
            </w:r>
          </w:p>
        </w:tc>
        <w:tc>
          <w:tcPr>
            <w:tcW w:w="1327" w:type="dxa"/>
            <w:tcBorders>
              <w:top w:val="single" w:sz="4" w:space="0" w:color="000000"/>
              <w:left w:val="single" w:sz="4" w:space="0" w:color="000000"/>
              <w:bottom w:val="single" w:sz="4" w:space="0" w:color="000000"/>
              <w:right w:val="single" w:sz="4" w:space="0" w:color="000000"/>
            </w:tcBorders>
          </w:tcPr>
          <w:p w14:paraId="20A989E0"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231B10AC"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605B5619"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2B02DF17" w14:textId="77777777" w:rsidR="003563EF" w:rsidRPr="001278B6" w:rsidRDefault="003563EF" w:rsidP="003C1C0B">
            <w:pPr>
              <w:pStyle w:val="TableParagraph"/>
              <w:widowControl/>
              <w:adjustRightInd w:val="0"/>
              <w:snapToGrid w:val="0"/>
              <w:rPr>
                <w:snapToGrid w:val="0"/>
                <w:sz w:val="20"/>
                <w:lang w:val="da-DK"/>
              </w:rPr>
            </w:pPr>
          </w:p>
        </w:tc>
      </w:tr>
      <w:tr w:rsidR="00612AFE" w:rsidRPr="00E202E4" w14:paraId="128FF08E" w14:textId="77777777" w:rsidTr="00051658">
        <w:trPr>
          <w:cantSplit/>
          <w:trHeight w:val="2141"/>
        </w:trPr>
        <w:tc>
          <w:tcPr>
            <w:tcW w:w="1327" w:type="dxa"/>
            <w:tcBorders>
              <w:top w:val="single" w:sz="4" w:space="0" w:color="000000"/>
              <w:right w:val="single" w:sz="4" w:space="0" w:color="000000"/>
            </w:tcBorders>
          </w:tcPr>
          <w:p w14:paraId="1DCA9E41" w14:textId="77777777" w:rsidR="00612AFE" w:rsidRPr="001278B6" w:rsidRDefault="00612AFE" w:rsidP="003C1C0B">
            <w:pPr>
              <w:pStyle w:val="TableParagraph"/>
              <w:widowControl/>
              <w:adjustRightInd w:val="0"/>
              <w:snapToGrid w:val="0"/>
              <w:rPr>
                <w:snapToGrid w:val="0"/>
                <w:sz w:val="20"/>
                <w:lang w:val="da-DK"/>
              </w:rPr>
            </w:pPr>
            <w:r w:rsidRPr="001278B6">
              <w:rPr>
                <w:snapToGrid w:val="0"/>
                <w:sz w:val="20"/>
                <w:lang w:val="da-DK"/>
              </w:rPr>
              <w:t>Vaskulære</w:t>
            </w:r>
            <w:r>
              <w:rPr>
                <w:snapToGrid w:val="0"/>
                <w:sz w:val="20"/>
                <w:lang w:val="da-DK"/>
              </w:rPr>
              <w:t xml:space="preserve"> </w:t>
            </w:r>
            <w:r w:rsidRPr="001278B6">
              <w:rPr>
                <w:snapToGrid w:val="0"/>
                <w:sz w:val="20"/>
                <w:lang w:val="da-DK"/>
              </w:rPr>
              <w:t>sygdomme</w:t>
            </w:r>
          </w:p>
        </w:tc>
        <w:tc>
          <w:tcPr>
            <w:tcW w:w="1327" w:type="dxa"/>
            <w:tcBorders>
              <w:top w:val="single" w:sz="4" w:space="0" w:color="000000"/>
              <w:left w:val="single" w:sz="4" w:space="0" w:color="000000"/>
              <w:right w:val="single" w:sz="4" w:space="0" w:color="000000"/>
            </w:tcBorders>
          </w:tcPr>
          <w:p w14:paraId="0125F451" w14:textId="77777777" w:rsidR="00612AFE" w:rsidRPr="001278B6" w:rsidRDefault="00612AFE" w:rsidP="00051658">
            <w:pPr>
              <w:pStyle w:val="TableParagraph"/>
              <w:widowControl/>
              <w:adjustRightInd w:val="0"/>
              <w:snapToGrid w:val="0"/>
              <w:rPr>
                <w:snapToGrid w:val="0"/>
                <w:sz w:val="20"/>
                <w:lang w:val="da-DK"/>
              </w:rPr>
            </w:pPr>
            <w:r w:rsidRPr="001278B6">
              <w:rPr>
                <w:snapToGrid w:val="0"/>
                <w:sz w:val="20"/>
                <w:lang w:val="da-DK"/>
              </w:rPr>
              <w:t>Hyper-tension</w:t>
            </w:r>
            <w:r w:rsidRPr="001278B6">
              <w:rPr>
                <w:snapToGrid w:val="0"/>
                <w:sz w:val="20"/>
                <w:vertAlign w:val="superscript"/>
                <w:lang w:val="da-DK"/>
              </w:rPr>
              <w:t>a,b</w:t>
            </w:r>
          </w:p>
        </w:tc>
        <w:tc>
          <w:tcPr>
            <w:tcW w:w="1328" w:type="dxa"/>
            <w:tcBorders>
              <w:top w:val="single" w:sz="4" w:space="0" w:color="000000"/>
              <w:left w:val="single" w:sz="4" w:space="0" w:color="000000"/>
              <w:right w:val="single" w:sz="4" w:space="0" w:color="000000"/>
            </w:tcBorders>
          </w:tcPr>
          <w:p w14:paraId="281A6C98" w14:textId="77777777" w:rsidR="00612AFE" w:rsidRPr="003C63FB" w:rsidRDefault="00612AFE" w:rsidP="00051658">
            <w:pPr>
              <w:pStyle w:val="TableParagraph"/>
              <w:widowControl/>
              <w:adjustRightInd w:val="0"/>
              <w:snapToGrid w:val="0"/>
              <w:rPr>
                <w:snapToGrid w:val="0"/>
                <w:sz w:val="20"/>
                <w:lang w:val="fr-FR"/>
              </w:rPr>
            </w:pPr>
            <w:r w:rsidRPr="003C63FB">
              <w:rPr>
                <w:snapToGrid w:val="0"/>
                <w:sz w:val="20"/>
                <w:lang w:val="fr-FR"/>
              </w:rPr>
              <w:t>Trombo-emboli (arteriel)</w:t>
            </w:r>
            <w:r w:rsidRPr="003C63FB">
              <w:rPr>
                <w:snapToGrid w:val="0"/>
                <w:sz w:val="20"/>
                <w:vertAlign w:val="superscript"/>
                <w:lang w:val="fr-FR"/>
              </w:rPr>
              <w:t>a,b</w:t>
            </w:r>
            <w:r w:rsidR="00A769A8" w:rsidRPr="00F466A3">
              <w:rPr>
                <w:snapToGrid w:val="0"/>
                <w:sz w:val="20"/>
                <w:lang w:val="fr-FR"/>
              </w:rPr>
              <w:t xml:space="preserve">, </w:t>
            </w:r>
          </w:p>
          <w:p w14:paraId="18C4BA4C" w14:textId="359A397D" w:rsidR="00612AFE" w:rsidRPr="003C63FB" w:rsidRDefault="00A769A8" w:rsidP="00051658">
            <w:pPr>
              <w:pStyle w:val="TableParagraph"/>
              <w:adjustRightInd w:val="0"/>
              <w:snapToGrid w:val="0"/>
              <w:rPr>
                <w:snapToGrid w:val="0"/>
                <w:sz w:val="20"/>
                <w:lang w:val="fr-FR"/>
              </w:rPr>
            </w:pPr>
            <w:r w:rsidRPr="003C63FB">
              <w:rPr>
                <w:snapToGrid w:val="0"/>
                <w:sz w:val="20"/>
                <w:lang w:val="fr-FR"/>
              </w:rPr>
              <w:t>b</w:t>
            </w:r>
            <w:r w:rsidR="00612AFE" w:rsidRPr="003C63FB">
              <w:rPr>
                <w:snapToGrid w:val="0"/>
                <w:sz w:val="20"/>
                <w:lang w:val="fr-FR"/>
              </w:rPr>
              <w:t>lødning</w:t>
            </w:r>
            <w:r w:rsidR="00612AFE" w:rsidRPr="003C63FB">
              <w:rPr>
                <w:snapToGrid w:val="0"/>
                <w:sz w:val="20"/>
                <w:vertAlign w:val="superscript"/>
                <w:lang w:val="fr-FR"/>
              </w:rPr>
              <w:t>a,b</w:t>
            </w:r>
            <w:r w:rsidRPr="00F466A3">
              <w:rPr>
                <w:snapToGrid w:val="0"/>
                <w:sz w:val="20"/>
                <w:lang w:val="fr-FR"/>
              </w:rPr>
              <w:t xml:space="preserve">, </w:t>
            </w:r>
          </w:p>
          <w:p w14:paraId="4E2BA1A1" w14:textId="7F919E6B" w:rsidR="00612AFE" w:rsidRPr="003C63FB" w:rsidRDefault="00A769A8" w:rsidP="00051658">
            <w:pPr>
              <w:pStyle w:val="TableParagraph"/>
              <w:widowControl/>
              <w:adjustRightInd w:val="0"/>
              <w:snapToGrid w:val="0"/>
              <w:rPr>
                <w:snapToGrid w:val="0"/>
                <w:sz w:val="20"/>
                <w:lang w:val="fr-FR"/>
              </w:rPr>
            </w:pPr>
            <w:r w:rsidRPr="003C63FB">
              <w:rPr>
                <w:snapToGrid w:val="0"/>
                <w:sz w:val="20"/>
                <w:lang w:val="fr-FR"/>
              </w:rPr>
              <w:t>t</w:t>
            </w:r>
            <w:r w:rsidR="00612AFE" w:rsidRPr="003C63FB">
              <w:rPr>
                <w:snapToGrid w:val="0"/>
                <w:sz w:val="20"/>
                <w:lang w:val="fr-FR"/>
              </w:rPr>
              <w:t>rombo-emboli</w:t>
            </w:r>
            <w:r w:rsidR="0068278D" w:rsidRPr="003C63FB">
              <w:rPr>
                <w:snapToGrid w:val="0"/>
                <w:sz w:val="20"/>
                <w:lang w:val="fr-FR"/>
              </w:rPr>
              <w:t xml:space="preserve"> </w:t>
            </w:r>
            <w:r w:rsidR="00612AFE" w:rsidRPr="003C63FB">
              <w:rPr>
                <w:snapToGrid w:val="0"/>
                <w:sz w:val="20"/>
                <w:lang w:val="fr-FR"/>
              </w:rPr>
              <w:t>(venøs)</w:t>
            </w:r>
            <w:r w:rsidR="0062499A" w:rsidRPr="009A3C0C">
              <w:rPr>
                <w:color w:val="000000"/>
                <w:sz w:val="20"/>
                <w:vertAlign w:val="superscript"/>
                <w:lang w:val="da-DK"/>
              </w:rPr>
              <w:t xml:space="preserve"> a</w:t>
            </w:r>
            <w:r w:rsidR="0062499A" w:rsidRPr="003C63FB">
              <w:rPr>
                <w:snapToGrid w:val="0"/>
                <w:sz w:val="20"/>
                <w:vertAlign w:val="superscript"/>
                <w:lang w:val="fr-FR"/>
              </w:rPr>
              <w:t xml:space="preserve"> </w:t>
            </w:r>
            <w:r w:rsidR="0062499A">
              <w:rPr>
                <w:snapToGrid w:val="0"/>
                <w:sz w:val="20"/>
                <w:vertAlign w:val="superscript"/>
                <w:lang w:val="fr-FR"/>
              </w:rPr>
              <w:t>,</w:t>
            </w:r>
            <w:r w:rsidR="00612AFE" w:rsidRPr="003C63FB">
              <w:rPr>
                <w:snapToGrid w:val="0"/>
                <w:sz w:val="20"/>
                <w:vertAlign w:val="superscript"/>
                <w:lang w:val="fr-FR"/>
              </w:rPr>
              <w:t>b</w:t>
            </w:r>
            <w:r w:rsidRPr="00F466A3">
              <w:rPr>
                <w:snapToGrid w:val="0"/>
                <w:sz w:val="20"/>
                <w:lang w:val="fr-FR"/>
              </w:rPr>
              <w:t>,</w:t>
            </w:r>
          </w:p>
          <w:p w14:paraId="7AE47F87" w14:textId="1CFF0043" w:rsidR="00612AFE" w:rsidRPr="001278B6" w:rsidRDefault="00A769A8" w:rsidP="00051658">
            <w:pPr>
              <w:pStyle w:val="TableParagraph"/>
              <w:adjustRightInd w:val="0"/>
              <w:snapToGrid w:val="0"/>
              <w:rPr>
                <w:snapToGrid w:val="0"/>
                <w:sz w:val="20"/>
                <w:lang w:val="da-DK"/>
              </w:rPr>
            </w:pPr>
            <w:r>
              <w:rPr>
                <w:snapToGrid w:val="0"/>
                <w:sz w:val="20"/>
                <w:lang w:val="da-DK"/>
              </w:rPr>
              <w:t>d</w:t>
            </w:r>
            <w:r w:rsidR="00612AFE" w:rsidRPr="001278B6">
              <w:rPr>
                <w:snapToGrid w:val="0"/>
                <w:sz w:val="20"/>
                <w:lang w:val="da-DK"/>
              </w:rPr>
              <w:t>yb vene-trombose</w:t>
            </w:r>
          </w:p>
        </w:tc>
        <w:tc>
          <w:tcPr>
            <w:tcW w:w="1327" w:type="dxa"/>
            <w:tcBorders>
              <w:top w:val="single" w:sz="4" w:space="0" w:color="000000"/>
              <w:left w:val="single" w:sz="4" w:space="0" w:color="000000"/>
              <w:bottom w:val="single" w:sz="4" w:space="0" w:color="000000"/>
              <w:right w:val="single" w:sz="4" w:space="0" w:color="000000"/>
            </w:tcBorders>
          </w:tcPr>
          <w:p w14:paraId="2AFD6511" w14:textId="77777777" w:rsidR="00612AFE" w:rsidRPr="001278B6" w:rsidRDefault="00612AFE"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561AFCF0" w14:textId="77777777" w:rsidR="00612AFE" w:rsidRPr="001278B6" w:rsidRDefault="00612AFE"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64667321" w14:textId="77777777" w:rsidR="00612AFE" w:rsidRPr="001278B6" w:rsidRDefault="00612AFE"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tcBorders>
          </w:tcPr>
          <w:p w14:paraId="495BA110" w14:textId="77777777" w:rsidR="00612AFE" w:rsidRPr="005476B6" w:rsidRDefault="00612AFE" w:rsidP="00051658">
            <w:pPr>
              <w:pStyle w:val="TableParagraph"/>
              <w:widowControl/>
              <w:adjustRightInd w:val="0"/>
              <w:snapToGrid w:val="0"/>
              <w:rPr>
                <w:snapToGrid w:val="0"/>
                <w:sz w:val="20"/>
                <w:lang w:val="da-DK"/>
              </w:rPr>
            </w:pPr>
            <w:r w:rsidRPr="001278B6">
              <w:rPr>
                <w:snapToGrid w:val="0"/>
                <w:sz w:val="20"/>
                <w:lang w:val="da-DK"/>
              </w:rPr>
              <w:t>Renal</w:t>
            </w:r>
            <w:r>
              <w:rPr>
                <w:snapToGrid w:val="0"/>
                <w:sz w:val="20"/>
                <w:lang w:val="da-DK"/>
              </w:rPr>
              <w:t xml:space="preserve"> </w:t>
            </w:r>
            <w:r w:rsidRPr="001278B6">
              <w:rPr>
                <w:snapToGrid w:val="0"/>
                <w:sz w:val="20"/>
                <w:lang w:val="da-DK"/>
              </w:rPr>
              <w:t>trombotisk</w:t>
            </w:r>
            <w:r>
              <w:rPr>
                <w:snapToGrid w:val="0"/>
                <w:sz w:val="20"/>
                <w:lang w:val="da-DK"/>
              </w:rPr>
              <w:t xml:space="preserve"> </w:t>
            </w:r>
            <w:r w:rsidRPr="001278B6">
              <w:rPr>
                <w:snapToGrid w:val="0"/>
                <w:sz w:val="20"/>
                <w:lang w:val="da-DK"/>
              </w:rPr>
              <w:t>mikro-angiopati</w:t>
            </w:r>
            <w:r w:rsidRPr="001278B6">
              <w:rPr>
                <w:snapToGrid w:val="0"/>
                <w:sz w:val="20"/>
                <w:vertAlign w:val="superscript"/>
                <w:lang w:val="da-DK"/>
              </w:rPr>
              <w:t>b,c</w:t>
            </w:r>
            <w:r w:rsidR="00A769A8" w:rsidRPr="00F466A3">
              <w:rPr>
                <w:snapToGrid w:val="0"/>
                <w:sz w:val="20"/>
                <w:lang w:val="da-DK"/>
              </w:rPr>
              <w:t xml:space="preserve">, </w:t>
            </w:r>
          </w:p>
          <w:p w14:paraId="5B3EC81D" w14:textId="7DB9D93C" w:rsidR="00612AFE" w:rsidRPr="001278B6" w:rsidRDefault="00A769A8" w:rsidP="00051658">
            <w:pPr>
              <w:pStyle w:val="TableParagraph"/>
              <w:adjustRightInd w:val="0"/>
              <w:snapToGrid w:val="0"/>
              <w:rPr>
                <w:snapToGrid w:val="0"/>
                <w:sz w:val="20"/>
                <w:lang w:val="da-DK"/>
              </w:rPr>
            </w:pPr>
            <w:r>
              <w:rPr>
                <w:snapToGrid w:val="0"/>
                <w:sz w:val="20"/>
                <w:lang w:val="da-DK"/>
              </w:rPr>
              <w:t>a</w:t>
            </w:r>
            <w:r w:rsidR="00612AFE" w:rsidRPr="001278B6">
              <w:rPr>
                <w:snapToGrid w:val="0"/>
                <w:sz w:val="20"/>
                <w:lang w:val="da-DK"/>
              </w:rPr>
              <w:t>neurismer</w:t>
            </w:r>
            <w:r w:rsidR="00612AFE">
              <w:rPr>
                <w:snapToGrid w:val="0"/>
                <w:sz w:val="20"/>
                <w:lang w:val="da-DK"/>
              </w:rPr>
              <w:t xml:space="preserve"> </w:t>
            </w:r>
            <w:r w:rsidR="00612AFE" w:rsidRPr="001278B6">
              <w:rPr>
                <w:snapToGrid w:val="0"/>
                <w:sz w:val="20"/>
                <w:lang w:val="da-DK"/>
              </w:rPr>
              <w:t>og arterielle</w:t>
            </w:r>
            <w:r w:rsidR="00612AFE">
              <w:rPr>
                <w:snapToGrid w:val="0"/>
                <w:sz w:val="20"/>
                <w:lang w:val="da-DK"/>
              </w:rPr>
              <w:t xml:space="preserve"> </w:t>
            </w:r>
            <w:r w:rsidR="00612AFE" w:rsidRPr="001278B6">
              <w:rPr>
                <w:snapToGrid w:val="0"/>
                <w:sz w:val="20"/>
                <w:lang w:val="da-DK"/>
              </w:rPr>
              <w:t>dissektioner</w:t>
            </w:r>
          </w:p>
        </w:tc>
      </w:tr>
      <w:tr w:rsidR="00612AFE" w:rsidRPr="007E69C7" w14:paraId="7F4EDB87" w14:textId="77777777" w:rsidTr="00051658">
        <w:trPr>
          <w:cantSplit/>
          <w:trHeight w:val="1709"/>
        </w:trPr>
        <w:tc>
          <w:tcPr>
            <w:tcW w:w="1327" w:type="dxa"/>
            <w:tcBorders>
              <w:top w:val="single" w:sz="4" w:space="0" w:color="000000"/>
              <w:right w:val="single" w:sz="4" w:space="0" w:color="000000"/>
            </w:tcBorders>
          </w:tcPr>
          <w:p w14:paraId="370C4044" w14:textId="77777777" w:rsidR="00A14901" w:rsidRPr="001278B6" w:rsidRDefault="00A14901" w:rsidP="003C1C0B">
            <w:pPr>
              <w:pStyle w:val="TableParagraph"/>
              <w:widowControl/>
              <w:adjustRightInd w:val="0"/>
              <w:snapToGrid w:val="0"/>
              <w:rPr>
                <w:snapToGrid w:val="0"/>
                <w:sz w:val="20"/>
                <w:lang w:val="da-DK"/>
              </w:rPr>
            </w:pPr>
            <w:r w:rsidRPr="001278B6">
              <w:rPr>
                <w:snapToGrid w:val="0"/>
                <w:sz w:val="20"/>
                <w:lang w:val="da-DK"/>
              </w:rPr>
              <w:t>Luftveje,</w:t>
            </w:r>
            <w:r>
              <w:rPr>
                <w:snapToGrid w:val="0"/>
                <w:sz w:val="20"/>
                <w:lang w:val="da-DK"/>
              </w:rPr>
              <w:t xml:space="preserve"> </w:t>
            </w:r>
            <w:r w:rsidRPr="001278B6">
              <w:rPr>
                <w:snapToGrid w:val="0"/>
                <w:sz w:val="20"/>
                <w:lang w:val="da-DK"/>
              </w:rPr>
              <w:t>thorax og</w:t>
            </w:r>
            <w:r>
              <w:rPr>
                <w:snapToGrid w:val="0"/>
                <w:sz w:val="20"/>
                <w:lang w:val="da-DK"/>
              </w:rPr>
              <w:t xml:space="preserve"> </w:t>
            </w:r>
            <w:r w:rsidRPr="001278B6">
              <w:rPr>
                <w:snapToGrid w:val="0"/>
                <w:sz w:val="20"/>
                <w:lang w:val="da-DK"/>
              </w:rPr>
              <w:t>mediast-Inum</w:t>
            </w:r>
          </w:p>
        </w:tc>
        <w:tc>
          <w:tcPr>
            <w:tcW w:w="1327" w:type="dxa"/>
            <w:tcBorders>
              <w:top w:val="single" w:sz="4" w:space="0" w:color="000000"/>
              <w:left w:val="single" w:sz="4" w:space="0" w:color="000000"/>
              <w:right w:val="single" w:sz="4" w:space="0" w:color="000000"/>
            </w:tcBorders>
          </w:tcPr>
          <w:p w14:paraId="6C0A51E2" w14:textId="77777777" w:rsidR="00A14901" w:rsidRPr="001278B6" w:rsidRDefault="00A14901"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right w:val="single" w:sz="4" w:space="0" w:color="000000"/>
            </w:tcBorders>
          </w:tcPr>
          <w:p w14:paraId="4E9B3C4C" w14:textId="34EB4661" w:rsidR="00A14901" w:rsidRPr="003C63FB" w:rsidRDefault="00A14901" w:rsidP="00051658">
            <w:pPr>
              <w:pStyle w:val="TableParagraph"/>
              <w:widowControl/>
              <w:adjustRightInd w:val="0"/>
              <w:snapToGrid w:val="0"/>
              <w:rPr>
                <w:snapToGrid w:val="0"/>
                <w:sz w:val="20"/>
                <w:lang w:val="nb-NO"/>
              </w:rPr>
            </w:pPr>
            <w:r w:rsidRPr="003C63FB">
              <w:rPr>
                <w:snapToGrid w:val="0"/>
                <w:sz w:val="20"/>
                <w:lang w:val="nb-NO"/>
              </w:rPr>
              <w:t>Pulmonal blødning/</w:t>
            </w:r>
            <w:r w:rsidRPr="003C63FB">
              <w:rPr>
                <w:snapToGrid w:val="0"/>
                <w:sz w:val="20"/>
                <w:lang w:val="nb-NO"/>
              </w:rPr>
              <w:br/>
              <w:t>hæmoptyse</w:t>
            </w:r>
            <w:r w:rsidRPr="003C63FB">
              <w:rPr>
                <w:snapToGrid w:val="0"/>
                <w:sz w:val="20"/>
                <w:vertAlign w:val="superscript"/>
                <w:lang w:val="nb-NO"/>
              </w:rPr>
              <w:t>a,b</w:t>
            </w:r>
            <w:r w:rsidR="00A769A8" w:rsidRPr="00F466A3">
              <w:rPr>
                <w:snapToGrid w:val="0"/>
                <w:sz w:val="20"/>
                <w:lang w:val="nb-NO"/>
              </w:rPr>
              <w:t xml:space="preserve">, </w:t>
            </w:r>
            <w:r w:rsidR="00A769A8" w:rsidRPr="003C63FB">
              <w:rPr>
                <w:snapToGrid w:val="0"/>
                <w:sz w:val="20"/>
                <w:lang w:val="nb-NO"/>
              </w:rPr>
              <w:t>l</w:t>
            </w:r>
            <w:r w:rsidRPr="003C63FB">
              <w:rPr>
                <w:snapToGrid w:val="0"/>
                <w:sz w:val="20"/>
                <w:lang w:val="nb-NO"/>
              </w:rPr>
              <w:t>ungeemboli</w:t>
            </w:r>
            <w:r w:rsidR="00A769A8" w:rsidRPr="003C63FB">
              <w:rPr>
                <w:snapToGrid w:val="0"/>
                <w:sz w:val="20"/>
                <w:lang w:val="nb-NO"/>
              </w:rPr>
              <w:t xml:space="preserve">, </w:t>
            </w:r>
          </w:p>
          <w:p w14:paraId="3464FC30" w14:textId="40F7D340" w:rsidR="00A14901" w:rsidRPr="005476B6" w:rsidRDefault="00A769A8" w:rsidP="00051658">
            <w:pPr>
              <w:pStyle w:val="TableParagraph"/>
              <w:widowControl/>
              <w:adjustRightInd w:val="0"/>
              <w:snapToGrid w:val="0"/>
              <w:rPr>
                <w:snapToGrid w:val="0"/>
                <w:sz w:val="20"/>
                <w:lang w:val="da-DK"/>
              </w:rPr>
            </w:pPr>
            <w:r>
              <w:rPr>
                <w:snapToGrid w:val="0"/>
                <w:sz w:val="20"/>
                <w:lang w:val="da-DK"/>
              </w:rPr>
              <w:t>e</w:t>
            </w:r>
            <w:r w:rsidR="00A14901" w:rsidRPr="001278B6">
              <w:rPr>
                <w:snapToGrid w:val="0"/>
                <w:sz w:val="20"/>
                <w:lang w:val="da-DK"/>
              </w:rPr>
              <w:t>pistaxis</w:t>
            </w:r>
            <w:r>
              <w:rPr>
                <w:snapToGrid w:val="0"/>
                <w:sz w:val="20"/>
                <w:lang w:val="da-DK"/>
              </w:rPr>
              <w:t xml:space="preserve">, </w:t>
            </w:r>
          </w:p>
          <w:p w14:paraId="212B8958" w14:textId="7E701A2F" w:rsidR="00A14901" w:rsidRPr="005476B6" w:rsidRDefault="00A769A8" w:rsidP="00051658">
            <w:pPr>
              <w:pStyle w:val="TableParagraph"/>
              <w:widowControl/>
              <w:adjustRightInd w:val="0"/>
              <w:snapToGrid w:val="0"/>
              <w:rPr>
                <w:snapToGrid w:val="0"/>
                <w:sz w:val="20"/>
                <w:lang w:val="da-DK"/>
              </w:rPr>
            </w:pPr>
            <w:r>
              <w:rPr>
                <w:snapToGrid w:val="0"/>
                <w:sz w:val="20"/>
                <w:lang w:val="da-DK"/>
              </w:rPr>
              <w:t>d</w:t>
            </w:r>
            <w:r w:rsidRPr="001278B6">
              <w:rPr>
                <w:snapToGrid w:val="0"/>
                <w:sz w:val="20"/>
                <w:lang w:val="da-DK"/>
              </w:rPr>
              <w:t>yspn</w:t>
            </w:r>
            <w:r w:rsidR="00A14901" w:rsidRPr="001278B6">
              <w:rPr>
                <w:snapToGrid w:val="0"/>
                <w:sz w:val="20"/>
                <w:lang w:val="da-DK"/>
              </w:rPr>
              <w:t>ø</w:t>
            </w:r>
            <w:r>
              <w:rPr>
                <w:snapToGrid w:val="0"/>
                <w:sz w:val="20"/>
                <w:lang w:val="da-DK"/>
              </w:rPr>
              <w:t xml:space="preserve">, </w:t>
            </w:r>
          </w:p>
          <w:p w14:paraId="1E40A886" w14:textId="2DA97868" w:rsidR="00A14901" w:rsidRPr="001278B6" w:rsidRDefault="00A769A8" w:rsidP="00051658">
            <w:pPr>
              <w:pStyle w:val="TableParagraph"/>
              <w:adjustRightInd w:val="0"/>
              <w:snapToGrid w:val="0"/>
              <w:rPr>
                <w:snapToGrid w:val="0"/>
                <w:sz w:val="20"/>
                <w:lang w:val="da-DK"/>
              </w:rPr>
            </w:pPr>
            <w:r>
              <w:rPr>
                <w:snapToGrid w:val="0"/>
                <w:sz w:val="20"/>
                <w:lang w:val="da-DK"/>
              </w:rPr>
              <w:t>h</w:t>
            </w:r>
            <w:r w:rsidR="00A14901" w:rsidRPr="001278B6">
              <w:rPr>
                <w:snapToGrid w:val="0"/>
                <w:sz w:val="20"/>
                <w:lang w:val="da-DK"/>
              </w:rPr>
              <w:t>ypoksi</w:t>
            </w:r>
          </w:p>
        </w:tc>
        <w:tc>
          <w:tcPr>
            <w:tcW w:w="1327" w:type="dxa"/>
            <w:tcBorders>
              <w:top w:val="single" w:sz="4" w:space="0" w:color="000000"/>
              <w:left w:val="single" w:sz="4" w:space="0" w:color="000000"/>
              <w:right w:val="single" w:sz="4" w:space="0" w:color="000000"/>
            </w:tcBorders>
          </w:tcPr>
          <w:p w14:paraId="318DCEF5" w14:textId="77777777" w:rsidR="00A14901" w:rsidRPr="001278B6" w:rsidRDefault="00A14901"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right w:val="single" w:sz="4" w:space="0" w:color="000000"/>
            </w:tcBorders>
          </w:tcPr>
          <w:p w14:paraId="28496246" w14:textId="77777777" w:rsidR="00A14901" w:rsidRPr="001278B6" w:rsidRDefault="00A14901"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right w:val="single" w:sz="4" w:space="0" w:color="000000"/>
            </w:tcBorders>
          </w:tcPr>
          <w:p w14:paraId="224BE608" w14:textId="77777777" w:rsidR="00A14901" w:rsidRPr="001278B6" w:rsidRDefault="00A14901"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tcBorders>
          </w:tcPr>
          <w:p w14:paraId="54C48923" w14:textId="77777777" w:rsidR="00A14901" w:rsidRPr="005476B6" w:rsidRDefault="00A14901" w:rsidP="00051658">
            <w:pPr>
              <w:pStyle w:val="TableParagraph"/>
              <w:widowControl/>
              <w:adjustRightInd w:val="0"/>
              <w:snapToGrid w:val="0"/>
              <w:rPr>
                <w:snapToGrid w:val="0"/>
                <w:sz w:val="20"/>
                <w:lang w:val="da-DK"/>
              </w:rPr>
            </w:pPr>
            <w:r w:rsidRPr="001278B6">
              <w:rPr>
                <w:snapToGrid w:val="0"/>
                <w:sz w:val="20"/>
                <w:lang w:val="da-DK"/>
              </w:rPr>
              <w:t>Pulmonal</w:t>
            </w:r>
            <w:r>
              <w:rPr>
                <w:snapToGrid w:val="0"/>
                <w:sz w:val="20"/>
                <w:lang w:val="da-DK"/>
              </w:rPr>
              <w:t xml:space="preserve"> </w:t>
            </w:r>
            <w:r w:rsidRPr="001278B6">
              <w:rPr>
                <w:snapToGrid w:val="0"/>
                <w:sz w:val="20"/>
                <w:lang w:val="da-DK"/>
              </w:rPr>
              <w:t>hyper-tension</w:t>
            </w:r>
            <w:r w:rsidRPr="001278B6">
              <w:rPr>
                <w:snapToGrid w:val="0"/>
                <w:sz w:val="20"/>
                <w:vertAlign w:val="superscript"/>
                <w:lang w:val="da-DK"/>
              </w:rPr>
              <w:t>c</w:t>
            </w:r>
            <w:r w:rsidR="00A769A8" w:rsidRPr="00F466A3">
              <w:rPr>
                <w:snapToGrid w:val="0"/>
                <w:sz w:val="20"/>
                <w:lang w:val="da-DK"/>
              </w:rPr>
              <w:t xml:space="preserve">, </w:t>
            </w:r>
          </w:p>
          <w:p w14:paraId="12CDE174" w14:textId="597D0705" w:rsidR="00A14901" w:rsidRPr="001278B6" w:rsidRDefault="00A769A8" w:rsidP="00051658">
            <w:pPr>
              <w:pStyle w:val="TableParagraph"/>
              <w:widowControl/>
              <w:adjustRightInd w:val="0"/>
              <w:snapToGrid w:val="0"/>
              <w:rPr>
                <w:snapToGrid w:val="0"/>
                <w:sz w:val="20"/>
                <w:lang w:val="da-DK"/>
              </w:rPr>
            </w:pPr>
            <w:r>
              <w:rPr>
                <w:snapToGrid w:val="0"/>
                <w:sz w:val="20"/>
                <w:lang w:val="da-DK"/>
              </w:rPr>
              <w:t>n</w:t>
            </w:r>
            <w:r w:rsidR="00A14901" w:rsidRPr="001278B6">
              <w:rPr>
                <w:snapToGrid w:val="0"/>
                <w:sz w:val="20"/>
                <w:lang w:val="da-DK"/>
              </w:rPr>
              <w:t>æse-septum-perforation</w:t>
            </w:r>
            <w:r w:rsidR="00A14901" w:rsidRPr="001278B6">
              <w:rPr>
                <w:snapToGrid w:val="0"/>
                <w:sz w:val="20"/>
                <w:vertAlign w:val="superscript"/>
                <w:lang w:val="da-DK"/>
              </w:rPr>
              <w:t>c</w:t>
            </w:r>
          </w:p>
        </w:tc>
      </w:tr>
      <w:tr w:rsidR="00864D0E" w:rsidRPr="007E69C7" w14:paraId="7AD83918" w14:textId="77777777" w:rsidTr="00051658">
        <w:trPr>
          <w:cantSplit/>
        </w:trPr>
        <w:tc>
          <w:tcPr>
            <w:tcW w:w="1327" w:type="dxa"/>
            <w:tcBorders>
              <w:top w:val="single" w:sz="4" w:space="0" w:color="000000"/>
              <w:bottom w:val="single" w:sz="4" w:space="0" w:color="000000"/>
              <w:right w:val="single" w:sz="4" w:space="0" w:color="000000"/>
            </w:tcBorders>
          </w:tcPr>
          <w:p w14:paraId="0F48D9AF"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lastRenderedPageBreak/>
              <w:t>Mave-tarm-kanalen</w:t>
            </w:r>
          </w:p>
        </w:tc>
        <w:tc>
          <w:tcPr>
            <w:tcW w:w="1327" w:type="dxa"/>
            <w:tcBorders>
              <w:top w:val="single" w:sz="4" w:space="0" w:color="000000"/>
              <w:left w:val="single" w:sz="4" w:space="0" w:color="000000"/>
              <w:bottom w:val="single" w:sz="4" w:space="0" w:color="000000"/>
              <w:right w:val="single" w:sz="4" w:space="0" w:color="000000"/>
            </w:tcBorders>
          </w:tcPr>
          <w:p w14:paraId="78D3C9FD"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Diarré</w:t>
            </w:r>
            <w:r w:rsidR="00A769A8">
              <w:rPr>
                <w:snapToGrid w:val="0"/>
                <w:sz w:val="20"/>
                <w:lang w:val="da-DK"/>
              </w:rPr>
              <w:t xml:space="preserve">, </w:t>
            </w:r>
          </w:p>
          <w:p w14:paraId="6FF8F0AF" w14:textId="2C833178" w:rsidR="00A14901" w:rsidRDefault="00A769A8" w:rsidP="00051658">
            <w:pPr>
              <w:pStyle w:val="TableParagraph"/>
              <w:widowControl/>
              <w:adjustRightInd w:val="0"/>
              <w:snapToGrid w:val="0"/>
              <w:rPr>
                <w:snapToGrid w:val="0"/>
                <w:sz w:val="20"/>
                <w:lang w:val="da-DK"/>
              </w:rPr>
            </w:pPr>
            <w:r>
              <w:rPr>
                <w:snapToGrid w:val="0"/>
                <w:sz w:val="20"/>
                <w:lang w:val="da-DK"/>
              </w:rPr>
              <w:t>k</w:t>
            </w:r>
            <w:r w:rsidR="00473235" w:rsidRPr="001278B6">
              <w:rPr>
                <w:snapToGrid w:val="0"/>
                <w:sz w:val="20"/>
                <w:lang w:val="da-DK"/>
              </w:rPr>
              <w:t>valme</w:t>
            </w:r>
            <w:r>
              <w:rPr>
                <w:snapToGrid w:val="0"/>
                <w:sz w:val="20"/>
                <w:lang w:val="da-DK"/>
              </w:rPr>
              <w:t>,</w:t>
            </w:r>
            <w:r w:rsidR="00473235" w:rsidRPr="001278B6">
              <w:rPr>
                <w:snapToGrid w:val="0"/>
                <w:sz w:val="20"/>
                <w:lang w:val="da-DK"/>
              </w:rPr>
              <w:t xml:space="preserve"> </w:t>
            </w:r>
          </w:p>
          <w:p w14:paraId="3C365A7E" w14:textId="400D9C97" w:rsidR="00A14901" w:rsidRDefault="00A769A8" w:rsidP="00051658">
            <w:pPr>
              <w:pStyle w:val="TableParagraph"/>
              <w:widowControl/>
              <w:adjustRightInd w:val="0"/>
              <w:snapToGrid w:val="0"/>
              <w:rPr>
                <w:snapToGrid w:val="0"/>
                <w:sz w:val="20"/>
                <w:lang w:val="da-DK"/>
              </w:rPr>
            </w:pPr>
            <w:r>
              <w:rPr>
                <w:snapToGrid w:val="0"/>
                <w:sz w:val="20"/>
                <w:lang w:val="da-DK"/>
              </w:rPr>
              <w:t>o</w:t>
            </w:r>
            <w:r w:rsidR="00473235" w:rsidRPr="001278B6">
              <w:rPr>
                <w:snapToGrid w:val="0"/>
                <w:sz w:val="20"/>
                <w:lang w:val="da-DK"/>
              </w:rPr>
              <w:t>pkastning</w:t>
            </w:r>
            <w:r>
              <w:rPr>
                <w:snapToGrid w:val="0"/>
                <w:sz w:val="20"/>
                <w:lang w:val="da-DK"/>
              </w:rPr>
              <w:t>,</w:t>
            </w:r>
            <w:r w:rsidR="00473235" w:rsidRPr="001278B6">
              <w:rPr>
                <w:snapToGrid w:val="0"/>
                <w:sz w:val="20"/>
                <w:lang w:val="da-DK"/>
              </w:rPr>
              <w:t xml:space="preserve"> </w:t>
            </w:r>
          </w:p>
          <w:p w14:paraId="0C3A636D" w14:textId="653D1815" w:rsidR="003563EF" w:rsidRPr="001278B6" w:rsidRDefault="00A769A8" w:rsidP="00051658">
            <w:pPr>
              <w:pStyle w:val="TableParagraph"/>
              <w:widowControl/>
              <w:adjustRightInd w:val="0"/>
              <w:snapToGrid w:val="0"/>
              <w:rPr>
                <w:snapToGrid w:val="0"/>
                <w:sz w:val="20"/>
                <w:lang w:val="da-DK"/>
              </w:rPr>
            </w:pPr>
            <w:r>
              <w:rPr>
                <w:snapToGrid w:val="0"/>
                <w:sz w:val="20"/>
                <w:lang w:val="da-DK"/>
              </w:rPr>
              <w:t>a</w:t>
            </w:r>
            <w:r w:rsidR="00473235" w:rsidRPr="001278B6">
              <w:rPr>
                <w:snapToGrid w:val="0"/>
                <w:sz w:val="20"/>
                <w:lang w:val="da-DK"/>
              </w:rPr>
              <w:t>bdominal-smerter</w:t>
            </w:r>
          </w:p>
        </w:tc>
        <w:tc>
          <w:tcPr>
            <w:tcW w:w="1328" w:type="dxa"/>
            <w:tcBorders>
              <w:top w:val="single" w:sz="4" w:space="0" w:color="000000"/>
              <w:left w:val="single" w:sz="4" w:space="0" w:color="000000"/>
              <w:bottom w:val="single" w:sz="4" w:space="0" w:color="000000"/>
              <w:right w:val="single" w:sz="4" w:space="0" w:color="000000"/>
            </w:tcBorders>
          </w:tcPr>
          <w:p w14:paraId="3705034C" w14:textId="77777777" w:rsidR="00A14901" w:rsidRDefault="00473235" w:rsidP="00051658">
            <w:pPr>
              <w:pStyle w:val="TableParagraph"/>
              <w:widowControl/>
              <w:adjustRightInd w:val="0"/>
              <w:snapToGrid w:val="0"/>
              <w:rPr>
                <w:snapToGrid w:val="0"/>
                <w:sz w:val="20"/>
                <w:lang w:val="da-DK"/>
              </w:rPr>
            </w:pPr>
            <w:r w:rsidRPr="001278B6">
              <w:rPr>
                <w:snapToGrid w:val="0"/>
                <w:sz w:val="20"/>
                <w:lang w:val="da-DK"/>
              </w:rPr>
              <w:t>Intestinal</w:t>
            </w:r>
            <w:r w:rsidR="00A14901">
              <w:rPr>
                <w:snapToGrid w:val="0"/>
                <w:sz w:val="20"/>
                <w:lang w:val="da-DK"/>
              </w:rPr>
              <w:t xml:space="preserve"> </w:t>
            </w:r>
            <w:r w:rsidRPr="001278B6">
              <w:rPr>
                <w:snapToGrid w:val="0"/>
                <w:sz w:val="20"/>
                <w:lang w:val="da-DK"/>
              </w:rPr>
              <w:t>perforation</w:t>
            </w:r>
            <w:r w:rsidR="00A769A8">
              <w:rPr>
                <w:snapToGrid w:val="0"/>
                <w:sz w:val="20"/>
                <w:lang w:val="da-DK"/>
              </w:rPr>
              <w:t>,</w:t>
            </w:r>
            <w:r w:rsidRPr="001278B6">
              <w:rPr>
                <w:snapToGrid w:val="0"/>
                <w:sz w:val="20"/>
                <w:lang w:val="da-DK"/>
              </w:rPr>
              <w:t xml:space="preserve"> </w:t>
            </w:r>
          </w:p>
          <w:p w14:paraId="565C4503" w14:textId="73D1C58D" w:rsidR="0068278D" w:rsidRDefault="00A769A8"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leus</w:t>
            </w:r>
            <w:r>
              <w:rPr>
                <w:snapToGrid w:val="0"/>
                <w:sz w:val="20"/>
                <w:lang w:val="da-DK"/>
              </w:rPr>
              <w:t>,</w:t>
            </w:r>
            <w:r w:rsidR="00473235" w:rsidRPr="001278B6">
              <w:rPr>
                <w:snapToGrid w:val="0"/>
                <w:sz w:val="20"/>
                <w:lang w:val="da-DK"/>
              </w:rPr>
              <w:t xml:space="preserve"> </w:t>
            </w:r>
          </w:p>
          <w:p w14:paraId="2CD06C18" w14:textId="502EF5B0" w:rsidR="00A14901" w:rsidRPr="001278B6" w:rsidRDefault="00A769A8" w:rsidP="00051658">
            <w:pPr>
              <w:pStyle w:val="TableParagraph"/>
              <w:widowControl/>
              <w:adjustRightInd w:val="0"/>
              <w:snapToGrid w:val="0"/>
              <w:rPr>
                <w:snapToGrid w:val="0"/>
                <w:sz w:val="20"/>
                <w:lang w:val="da-DK"/>
              </w:rPr>
            </w:pPr>
            <w:r>
              <w:rPr>
                <w:snapToGrid w:val="0"/>
                <w:sz w:val="20"/>
                <w:lang w:val="da-DK"/>
              </w:rPr>
              <w:t>i</w:t>
            </w:r>
            <w:r w:rsidR="00473235" w:rsidRPr="001278B6">
              <w:rPr>
                <w:snapToGrid w:val="0"/>
                <w:sz w:val="20"/>
                <w:lang w:val="da-DK"/>
              </w:rPr>
              <w:t>ntestinal obstruktion</w:t>
            </w:r>
            <w:r>
              <w:rPr>
                <w:snapToGrid w:val="0"/>
                <w:sz w:val="20"/>
                <w:lang w:val="da-DK"/>
              </w:rPr>
              <w:t xml:space="preserve">, </w:t>
            </w:r>
            <w:r w:rsidR="00473235" w:rsidRPr="001278B6">
              <w:rPr>
                <w:snapToGrid w:val="0"/>
                <w:sz w:val="20"/>
                <w:lang w:val="da-DK"/>
              </w:rPr>
              <w:t xml:space="preserve"> </w:t>
            </w:r>
            <w:r>
              <w:rPr>
                <w:snapToGrid w:val="0"/>
                <w:sz w:val="20"/>
                <w:lang w:val="da-DK"/>
              </w:rPr>
              <w:t>r</w:t>
            </w:r>
            <w:r w:rsidR="00473235" w:rsidRPr="001278B6">
              <w:rPr>
                <w:snapToGrid w:val="0"/>
                <w:sz w:val="20"/>
                <w:lang w:val="da-DK"/>
              </w:rPr>
              <w:t>ekto-vaginale fistler</w:t>
            </w:r>
            <w:r w:rsidR="00473235" w:rsidRPr="001278B6">
              <w:rPr>
                <w:snapToGrid w:val="0"/>
                <w:sz w:val="20"/>
                <w:vertAlign w:val="superscript"/>
                <w:lang w:val="da-DK"/>
              </w:rPr>
              <w:t>c,d</w:t>
            </w:r>
            <w:r w:rsidRPr="00F466A3">
              <w:rPr>
                <w:snapToGrid w:val="0"/>
                <w:sz w:val="20"/>
                <w:lang w:val="da-DK"/>
              </w:rPr>
              <w:t xml:space="preserve">, </w:t>
            </w:r>
          </w:p>
          <w:p w14:paraId="52CF8CB0" w14:textId="35075CD2" w:rsidR="003563EF" w:rsidRPr="001278B6" w:rsidRDefault="00A769A8" w:rsidP="00051658">
            <w:pPr>
              <w:pStyle w:val="TableParagraph"/>
              <w:widowControl/>
              <w:adjustRightInd w:val="0"/>
              <w:snapToGrid w:val="0"/>
              <w:rPr>
                <w:snapToGrid w:val="0"/>
                <w:sz w:val="20"/>
                <w:lang w:val="da-DK"/>
              </w:rPr>
            </w:pPr>
            <w:r>
              <w:rPr>
                <w:snapToGrid w:val="0"/>
                <w:sz w:val="20"/>
                <w:lang w:val="da-DK"/>
              </w:rPr>
              <w:t>g</w:t>
            </w:r>
            <w:r w:rsidR="00473235" w:rsidRPr="001278B6">
              <w:rPr>
                <w:snapToGrid w:val="0"/>
                <w:sz w:val="20"/>
                <w:lang w:val="da-DK"/>
              </w:rPr>
              <w:t>astro-intestinale forstyrrelser</w:t>
            </w:r>
            <w:r>
              <w:rPr>
                <w:snapToGrid w:val="0"/>
                <w:sz w:val="20"/>
                <w:lang w:val="da-DK"/>
              </w:rPr>
              <w:t xml:space="preserve">, </w:t>
            </w:r>
            <w:r w:rsidR="00473235" w:rsidRPr="001278B6">
              <w:rPr>
                <w:snapToGrid w:val="0"/>
                <w:sz w:val="20"/>
                <w:lang w:val="da-DK"/>
              </w:rPr>
              <w:t xml:space="preserve"> </w:t>
            </w:r>
            <w:r>
              <w:rPr>
                <w:snapToGrid w:val="0"/>
                <w:sz w:val="20"/>
                <w:lang w:val="da-DK"/>
              </w:rPr>
              <w:t>s</w:t>
            </w:r>
            <w:r w:rsidR="00473235" w:rsidRPr="001278B6">
              <w:rPr>
                <w:snapToGrid w:val="0"/>
                <w:sz w:val="20"/>
                <w:lang w:val="da-DK"/>
              </w:rPr>
              <w:t>tomatitis</w:t>
            </w:r>
            <w:r>
              <w:rPr>
                <w:snapToGrid w:val="0"/>
                <w:sz w:val="20"/>
                <w:lang w:val="da-DK"/>
              </w:rPr>
              <w:t xml:space="preserve">, </w:t>
            </w:r>
          </w:p>
          <w:p w14:paraId="7F553013" w14:textId="7680B1E9" w:rsidR="003563EF" w:rsidRPr="001278B6" w:rsidRDefault="00A769A8" w:rsidP="00051658">
            <w:pPr>
              <w:pStyle w:val="TableParagraph"/>
              <w:widowControl/>
              <w:adjustRightInd w:val="0"/>
              <w:snapToGrid w:val="0"/>
              <w:rPr>
                <w:snapToGrid w:val="0"/>
                <w:sz w:val="20"/>
                <w:lang w:val="da-DK"/>
              </w:rPr>
            </w:pPr>
            <w:r>
              <w:rPr>
                <w:snapToGrid w:val="0"/>
                <w:sz w:val="20"/>
                <w:lang w:val="da-DK"/>
              </w:rPr>
              <w:t>p</w:t>
            </w:r>
            <w:r w:rsidR="00473235" w:rsidRPr="001278B6">
              <w:rPr>
                <w:snapToGrid w:val="0"/>
                <w:sz w:val="20"/>
                <w:lang w:val="da-DK"/>
              </w:rPr>
              <w:t>roktalgi</w:t>
            </w:r>
          </w:p>
        </w:tc>
        <w:tc>
          <w:tcPr>
            <w:tcW w:w="1327" w:type="dxa"/>
            <w:tcBorders>
              <w:top w:val="single" w:sz="4" w:space="0" w:color="000000"/>
              <w:left w:val="single" w:sz="4" w:space="0" w:color="000000"/>
              <w:bottom w:val="single" w:sz="4" w:space="0" w:color="000000"/>
              <w:right w:val="single" w:sz="4" w:space="0" w:color="000000"/>
            </w:tcBorders>
          </w:tcPr>
          <w:p w14:paraId="02223793"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75BAC0D1"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1883F789"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19BBF2A7" w14:textId="77777777" w:rsidR="00A14901" w:rsidRPr="003C63FB" w:rsidRDefault="00473235" w:rsidP="00051658">
            <w:pPr>
              <w:pStyle w:val="TableParagraph"/>
              <w:widowControl/>
              <w:adjustRightInd w:val="0"/>
              <w:snapToGrid w:val="0"/>
              <w:rPr>
                <w:snapToGrid w:val="0"/>
                <w:sz w:val="20"/>
                <w:lang w:val="sv-SE"/>
              </w:rPr>
            </w:pPr>
            <w:r w:rsidRPr="003C63FB">
              <w:rPr>
                <w:snapToGrid w:val="0"/>
                <w:sz w:val="20"/>
                <w:lang w:val="sv-SE"/>
              </w:rPr>
              <w:t>Gastro-intestinal perfora-tion</w:t>
            </w:r>
            <w:r w:rsidRPr="003C63FB">
              <w:rPr>
                <w:snapToGrid w:val="0"/>
                <w:sz w:val="20"/>
                <w:vertAlign w:val="superscript"/>
                <w:lang w:val="sv-SE"/>
              </w:rPr>
              <w:t>a,b</w:t>
            </w:r>
            <w:r w:rsidR="00A769A8" w:rsidRPr="00F466A3">
              <w:rPr>
                <w:snapToGrid w:val="0"/>
                <w:sz w:val="20"/>
                <w:lang w:val="sv-SE"/>
              </w:rPr>
              <w:t xml:space="preserve">, </w:t>
            </w:r>
          </w:p>
          <w:p w14:paraId="16028C97" w14:textId="23C9EC03" w:rsidR="003563EF" w:rsidRPr="003C63FB" w:rsidRDefault="00A769A8" w:rsidP="00051658">
            <w:pPr>
              <w:pStyle w:val="TableParagraph"/>
              <w:widowControl/>
              <w:adjustRightInd w:val="0"/>
              <w:snapToGrid w:val="0"/>
              <w:rPr>
                <w:snapToGrid w:val="0"/>
                <w:sz w:val="20"/>
                <w:lang w:val="nb-NO"/>
              </w:rPr>
            </w:pPr>
            <w:r w:rsidRPr="003C63FB">
              <w:rPr>
                <w:snapToGrid w:val="0"/>
                <w:sz w:val="20"/>
                <w:lang w:val="nb-NO"/>
              </w:rPr>
              <w:t>g</w:t>
            </w:r>
            <w:r w:rsidR="00473235" w:rsidRPr="003C63FB">
              <w:rPr>
                <w:snapToGrid w:val="0"/>
                <w:sz w:val="20"/>
                <w:lang w:val="nb-NO"/>
              </w:rPr>
              <w:t>astro-intestinalt ulcus</w:t>
            </w:r>
            <w:r w:rsidR="00473235" w:rsidRPr="003C63FB">
              <w:rPr>
                <w:snapToGrid w:val="0"/>
                <w:sz w:val="20"/>
                <w:vertAlign w:val="superscript"/>
                <w:lang w:val="nb-NO"/>
              </w:rPr>
              <w:t>c</w:t>
            </w:r>
            <w:r w:rsidRPr="003C63FB">
              <w:rPr>
                <w:snapToGrid w:val="0"/>
                <w:sz w:val="20"/>
                <w:lang w:val="nb-NO"/>
              </w:rPr>
              <w:t>, r</w:t>
            </w:r>
            <w:r w:rsidR="00473235" w:rsidRPr="003C63FB">
              <w:rPr>
                <w:snapToGrid w:val="0"/>
                <w:sz w:val="20"/>
                <w:lang w:val="nb-NO"/>
              </w:rPr>
              <w:t>ektal-blødning</w:t>
            </w:r>
          </w:p>
        </w:tc>
      </w:tr>
      <w:tr w:rsidR="00864D0E" w:rsidRPr="005476B6" w14:paraId="522BF8A9" w14:textId="77777777" w:rsidTr="00051658">
        <w:trPr>
          <w:cantSplit/>
        </w:trPr>
        <w:tc>
          <w:tcPr>
            <w:tcW w:w="1327" w:type="dxa"/>
            <w:tcBorders>
              <w:top w:val="single" w:sz="4" w:space="0" w:color="000000"/>
              <w:bottom w:val="single" w:sz="4" w:space="0" w:color="000000"/>
              <w:right w:val="single" w:sz="4" w:space="0" w:color="000000"/>
            </w:tcBorders>
          </w:tcPr>
          <w:p w14:paraId="54134F6B"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Lever og</w:t>
            </w:r>
            <w:r w:rsidR="00A14901">
              <w:rPr>
                <w:snapToGrid w:val="0"/>
                <w:sz w:val="20"/>
                <w:lang w:val="da-DK"/>
              </w:rPr>
              <w:t xml:space="preserve"> </w:t>
            </w:r>
            <w:r w:rsidRPr="001278B6">
              <w:rPr>
                <w:snapToGrid w:val="0"/>
                <w:sz w:val="20"/>
                <w:lang w:val="da-DK"/>
              </w:rPr>
              <w:t>galdeveje</w:t>
            </w:r>
          </w:p>
        </w:tc>
        <w:tc>
          <w:tcPr>
            <w:tcW w:w="1327" w:type="dxa"/>
            <w:tcBorders>
              <w:top w:val="single" w:sz="4" w:space="0" w:color="000000"/>
              <w:left w:val="single" w:sz="4" w:space="0" w:color="000000"/>
              <w:bottom w:val="single" w:sz="4" w:space="0" w:color="000000"/>
              <w:right w:val="single" w:sz="4" w:space="0" w:color="000000"/>
            </w:tcBorders>
          </w:tcPr>
          <w:p w14:paraId="03DAA5E6"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761B1CDA"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092ECF29"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63CE0407"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717D59DB"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70ED142D" w14:textId="08F57F8C"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Galdeblæreperfora-tion</w:t>
            </w:r>
            <w:proofErr w:type="spellStart"/>
            <w:r w:rsidR="0062499A" w:rsidRPr="00361C98">
              <w:rPr>
                <w:color w:val="000000"/>
                <w:sz w:val="20"/>
                <w:szCs w:val="20"/>
                <w:vertAlign w:val="superscript"/>
                <w:lang w:val="en-GB"/>
              </w:rPr>
              <w:t>b,c</w:t>
            </w:r>
            <w:proofErr w:type="spellEnd"/>
          </w:p>
        </w:tc>
      </w:tr>
      <w:tr w:rsidR="00864D0E" w:rsidRPr="007E69C7" w14:paraId="6B2222BF" w14:textId="77777777" w:rsidTr="00051658">
        <w:trPr>
          <w:cantSplit/>
        </w:trPr>
        <w:tc>
          <w:tcPr>
            <w:tcW w:w="1327" w:type="dxa"/>
            <w:tcBorders>
              <w:top w:val="single" w:sz="4" w:space="0" w:color="000000"/>
              <w:bottom w:val="single" w:sz="4" w:space="0" w:color="000000"/>
              <w:right w:val="single" w:sz="4" w:space="0" w:color="000000"/>
            </w:tcBorders>
          </w:tcPr>
          <w:p w14:paraId="7BEF3E09"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Hud og</w:t>
            </w:r>
            <w:r w:rsidR="00A14901">
              <w:rPr>
                <w:snapToGrid w:val="0"/>
                <w:sz w:val="20"/>
                <w:lang w:val="da-DK"/>
              </w:rPr>
              <w:t xml:space="preserve"> </w:t>
            </w:r>
            <w:r w:rsidRPr="001278B6">
              <w:rPr>
                <w:snapToGrid w:val="0"/>
                <w:sz w:val="20"/>
                <w:lang w:val="da-DK"/>
              </w:rPr>
              <w:t>subkutane væv</w:t>
            </w:r>
          </w:p>
        </w:tc>
        <w:tc>
          <w:tcPr>
            <w:tcW w:w="1327" w:type="dxa"/>
            <w:tcBorders>
              <w:top w:val="single" w:sz="4" w:space="0" w:color="000000"/>
              <w:left w:val="single" w:sz="4" w:space="0" w:color="000000"/>
              <w:bottom w:val="single" w:sz="4" w:space="0" w:color="000000"/>
              <w:right w:val="single" w:sz="4" w:space="0" w:color="000000"/>
            </w:tcBorders>
          </w:tcPr>
          <w:p w14:paraId="242BECE3"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442B7FA1" w14:textId="146FE7AA" w:rsidR="000D5773" w:rsidRPr="00051658" w:rsidRDefault="00473235" w:rsidP="00051658">
            <w:pPr>
              <w:pStyle w:val="TableParagraph"/>
              <w:widowControl/>
              <w:adjustRightInd w:val="0"/>
              <w:snapToGrid w:val="0"/>
              <w:rPr>
                <w:snapToGrid w:val="0"/>
                <w:sz w:val="20"/>
                <w:lang w:val="sv-SE"/>
              </w:rPr>
            </w:pPr>
            <w:r w:rsidRPr="00051658">
              <w:rPr>
                <w:snapToGrid w:val="0"/>
                <w:sz w:val="20"/>
                <w:lang w:val="sv-SE"/>
              </w:rPr>
              <w:t>Sårhelings-komplika-tioner</w:t>
            </w:r>
            <w:r w:rsidRPr="00051658">
              <w:rPr>
                <w:snapToGrid w:val="0"/>
                <w:sz w:val="20"/>
                <w:vertAlign w:val="superscript"/>
                <w:lang w:val="sv-SE"/>
              </w:rPr>
              <w:t>a,b</w:t>
            </w:r>
            <w:r w:rsidR="00A769A8">
              <w:rPr>
                <w:snapToGrid w:val="0"/>
                <w:sz w:val="20"/>
                <w:lang w:val="sv-SE"/>
              </w:rPr>
              <w:t xml:space="preserve">, </w:t>
            </w:r>
          </w:p>
          <w:p w14:paraId="53CC220C" w14:textId="24171D8E" w:rsidR="003563EF" w:rsidRPr="00051658" w:rsidRDefault="00A769A8" w:rsidP="00051658">
            <w:pPr>
              <w:pStyle w:val="TableParagraph"/>
              <w:widowControl/>
              <w:adjustRightInd w:val="0"/>
              <w:snapToGrid w:val="0"/>
              <w:rPr>
                <w:snapToGrid w:val="0"/>
                <w:sz w:val="20"/>
                <w:lang w:val="sv-SE"/>
              </w:rPr>
            </w:pPr>
            <w:r>
              <w:rPr>
                <w:snapToGrid w:val="0"/>
                <w:sz w:val="20"/>
                <w:lang w:val="sv-SE"/>
              </w:rPr>
              <w:t>p</w:t>
            </w:r>
            <w:r w:rsidR="00473235" w:rsidRPr="00051658">
              <w:rPr>
                <w:snapToGrid w:val="0"/>
                <w:sz w:val="20"/>
                <w:lang w:val="sv-SE"/>
              </w:rPr>
              <w:t>almo-plantar erytro-dysæstesi-syndrom</w:t>
            </w:r>
          </w:p>
        </w:tc>
        <w:tc>
          <w:tcPr>
            <w:tcW w:w="1327" w:type="dxa"/>
            <w:tcBorders>
              <w:top w:val="single" w:sz="4" w:space="0" w:color="000000"/>
              <w:left w:val="single" w:sz="4" w:space="0" w:color="000000"/>
              <w:bottom w:val="single" w:sz="4" w:space="0" w:color="000000"/>
              <w:right w:val="single" w:sz="4" w:space="0" w:color="000000"/>
            </w:tcBorders>
          </w:tcPr>
          <w:p w14:paraId="5943090A" w14:textId="77777777" w:rsidR="003563EF" w:rsidRPr="00051658" w:rsidRDefault="003563EF" w:rsidP="003C1C0B">
            <w:pPr>
              <w:pStyle w:val="TableParagraph"/>
              <w:widowControl/>
              <w:adjustRightInd w:val="0"/>
              <w:snapToGrid w:val="0"/>
              <w:rPr>
                <w:snapToGrid w:val="0"/>
                <w:sz w:val="20"/>
                <w:lang w:val="sv-SE"/>
              </w:rPr>
            </w:pPr>
          </w:p>
        </w:tc>
        <w:tc>
          <w:tcPr>
            <w:tcW w:w="1328" w:type="dxa"/>
            <w:tcBorders>
              <w:top w:val="single" w:sz="4" w:space="0" w:color="000000"/>
              <w:left w:val="single" w:sz="4" w:space="0" w:color="000000"/>
              <w:bottom w:val="single" w:sz="4" w:space="0" w:color="000000"/>
              <w:right w:val="single" w:sz="4" w:space="0" w:color="000000"/>
            </w:tcBorders>
          </w:tcPr>
          <w:p w14:paraId="7BBEA6EF" w14:textId="77777777" w:rsidR="003563EF" w:rsidRPr="00051658" w:rsidRDefault="003563EF" w:rsidP="003C1C0B">
            <w:pPr>
              <w:pStyle w:val="TableParagraph"/>
              <w:widowControl/>
              <w:adjustRightInd w:val="0"/>
              <w:snapToGrid w:val="0"/>
              <w:rPr>
                <w:snapToGrid w:val="0"/>
                <w:sz w:val="20"/>
                <w:lang w:val="sv-SE"/>
              </w:rPr>
            </w:pPr>
          </w:p>
        </w:tc>
        <w:tc>
          <w:tcPr>
            <w:tcW w:w="1327" w:type="dxa"/>
            <w:tcBorders>
              <w:top w:val="single" w:sz="4" w:space="0" w:color="000000"/>
              <w:left w:val="single" w:sz="4" w:space="0" w:color="000000"/>
              <w:bottom w:val="single" w:sz="4" w:space="0" w:color="000000"/>
              <w:right w:val="single" w:sz="4" w:space="0" w:color="000000"/>
            </w:tcBorders>
          </w:tcPr>
          <w:p w14:paraId="5C172B03" w14:textId="77777777" w:rsidR="003563EF" w:rsidRPr="00051658" w:rsidRDefault="003563EF" w:rsidP="003C1C0B">
            <w:pPr>
              <w:pStyle w:val="TableParagraph"/>
              <w:widowControl/>
              <w:adjustRightInd w:val="0"/>
              <w:snapToGrid w:val="0"/>
              <w:rPr>
                <w:snapToGrid w:val="0"/>
                <w:sz w:val="20"/>
                <w:lang w:val="sv-SE"/>
              </w:rPr>
            </w:pPr>
          </w:p>
        </w:tc>
        <w:tc>
          <w:tcPr>
            <w:tcW w:w="1328" w:type="dxa"/>
            <w:tcBorders>
              <w:top w:val="single" w:sz="4" w:space="0" w:color="000000"/>
              <w:left w:val="single" w:sz="4" w:space="0" w:color="000000"/>
              <w:bottom w:val="single" w:sz="4" w:space="0" w:color="000000"/>
            </w:tcBorders>
          </w:tcPr>
          <w:p w14:paraId="7FDA0C98" w14:textId="77777777" w:rsidR="003563EF" w:rsidRPr="00051658" w:rsidRDefault="003563EF" w:rsidP="003C1C0B">
            <w:pPr>
              <w:pStyle w:val="TableParagraph"/>
              <w:widowControl/>
              <w:adjustRightInd w:val="0"/>
              <w:snapToGrid w:val="0"/>
              <w:rPr>
                <w:snapToGrid w:val="0"/>
                <w:sz w:val="20"/>
                <w:lang w:val="sv-SE"/>
              </w:rPr>
            </w:pPr>
          </w:p>
        </w:tc>
      </w:tr>
      <w:tr w:rsidR="00864D0E" w:rsidRPr="007E69C7" w14:paraId="633ECB45" w14:textId="77777777" w:rsidTr="00051658">
        <w:trPr>
          <w:cantSplit/>
        </w:trPr>
        <w:tc>
          <w:tcPr>
            <w:tcW w:w="1327" w:type="dxa"/>
            <w:tcBorders>
              <w:top w:val="single" w:sz="4" w:space="0" w:color="000000"/>
              <w:bottom w:val="single" w:sz="4" w:space="0" w:color="000000"/>
              <w:right w:val="single" w:sz="4" w:space="0" w:color="000000"/>
            </w:tcBorders>
          </w:tcPr>
          <w:p w14:paraId="179BD939"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Knogler,</w:t>
            </w:r>
            <w:r w:rsidR="00A14901">
              <w:rPr>
                <w:snapToGrid w:val="0"/>
                <w:sz w:val="20"/>
                <w:lang w:val="da-DK"/>
              </w:rPr>
              <w:t xml:space="preserve"> </w:t>
            </w:r>
            <w:r w:rsidRPr="001278B6">
              <w:rPr>
                <w:snapToGrid w:val="0"/>
                <w:sz w:val="20"/>
                <w:lang w:val="da-DK"/>
              </w:rPr>
              <w:t>led, muskler og bindevæv</w:t>
            </w:r>
          </w:p>
        </w:tc>
        <w:tc>
          <w:tcPr>
            <w:tcW w:w="1327" w:type="dxa"/>
            <w:tcBorders>
              <w:top w:val="single" w:sz="4" w:space="0" w:color="000000"/>
              <w:left w:val="single" w:sz="4" w:space="0" w:color="000000"/>
              <w:bottom w:val="single" w:sz="4" w:space="0" w:color="000000"/>
              <w:right w:val="single" w:sz="4" w:space="0" w:color="000000"/>
            </w:tcBorders>
          </w:tcPr>
          <w:p w14:paraId="50E91F78"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1A692E8A" w14:textId="77777777" w:rsidR="003563EF" w:rsidRPr="003C63FB" w:rsidRDefault="00473235" w:rsidP="00051658">
            <w:pPr>
              <w:pStyle w:val="TableParagraph"/>
              <w:widowControl/>
              <w:adjustRightInd w:val="0"/>
              <w:snapToGrid w:val="0"/>
              <w:rPr>
                <w:snapToGrid w:val="0"/>
                <w:sz w:val="20"/>
                <w:lang w:val="sv-SE"/>
              </w:rPr>
            </w:pPr>
            <w:r w:rsidRPr="003C63FB">
              <w:rPr>
                <w:snapToGrid w:val="0"/>
                <w:sz w:val="20"/>
                <w:lang w:val="sv-SE"/>
              </w:rPr>
              <w:t>Fistler</w:t>
            </w:r>
            <w:r w:rsidRPr="003C63FB">
              <w:rPr>
                <w:snapToGrid w:val="0"/>
                <w:sz w:val="20"/>
                <w:vertAlign w:val="superscript"/>
                <w:lang w:val="sv-SE"/>
              </w:rPr>
              <w:t>a,b</w:t>
            </w:r>
            <w:r w:rsidR="00A769A8" w:rsidRPr="00F466A3">
              <w:rPr>
                <w:snapToGrid w:val="0"/>
                <w:sz w:val="20"/>
                <w:lang w:val="sv-SE"/>
              </w:rPr>
              <w:t xml:space="preserve">, </w:t>
            </w:r>
          </w:p>
          <w:p w14:paraId="502B25D8" w14:textId="25D59E4A" w:rsidR="00A14901" w:rsidRPr="003C63FB" w:rsidRDefault="00A769A8" w:rsidP="00051658">
            <w:pPr>
              <w:pStyle w:val="TableParagraph"/>
              <w:widowControl/>
              <w:adjustRightInd w:val="0"/>
              <w:snapToGrid w:val="0"/>
              <w:rPr>
                <w:snapToGrid w:val="0"/>
                <w:sz w:val="20"/>
                <w:lang w:val="sv-SE"/>
              </w:rPr>
            </w:pPr>
            <w:r w:rsidRPr="003C63FB">
              <w:rPr>
                <w:snapToGrid w:val="0"/>
                <w:sz w:val="20"/>
                <w:lang w:val="sv-SE"/>
              </w:rPr>
              <w:t>m</w:t>
            </w:r>
            <w:r w:rsidR="00473235" w:rsidRPr="003C63FB">
              <w:rPr>
                <w:snapToGrid w:val="0"/>
                <w:sz w:val="20"/>
                <w:lang w:val="sv-SE"/>
              </w:rPr>
              <w:t>yalgi</w:t>
            </w:r>
            <w:r w:rsidRPr="003C63FB">
              <w:rPr>
                <w:snapToGrid w:val="0"/>
                <w:sz w:val="20"/>
                <w:lang w:val="sv-SE"/>
              </w:rPr>
              <w:t>,</w:t>
            </w:r>
            <w:r w:rsidR="00473235" w:rsidRPr="003C63FB">
              <w:rPr>
                <w:snapToGrid w:val="0"/>
                <w:sz w:val="20"/>
                <w:lang w:val="sv-SE"/>
              </w:rPr>
              <w:t xml:space="preserve"> </w:t>
            </w:r>
          </w:p>
          <w:p w14:paraId="2257B4C6" w14:textId="0F263E39" w:rsidR="00A14901" w:rsidRPr="003C63FB" w:rsidRDefault="00A769A8" w:rsidP="00051658">
            <w:pPr>
              <w:pStyle w:val="TableParagraph"/>
              <w:widowControl/>
              <w:adjustRightInd w:val="0"/>
              <w:snapToGrid w:val="0"/>
              <w:rPr>
                <w:snapToGrid w:val="0"/>
                <w:sz w:val="20"/>
                <w:lang w:val="sv-SE"/>
              </w:rPr>
            </w:pPr>
            <w:r w:rsidRPr="003C63FB">
              <w:rPr>
                <w:snapToGrid w:val="0"/>
                <w:sz w:val="20"/>
                <w:lang w:val="sv-SE"/>
              </w:rPr>
              <w:t>a</w:t>
            </w:r>
            <w:r w:rsidR="00473235" w:rsidRPr="003C63FB">
              <w:rPr>
                <w:snapToGrid w:val="0"/>
                <w:sz w:val="20"/>
                <w:lang w:val="sv-SE"/>
              </w:rPr>
              <w:t>rtralgi</w:t>
            </w:r>
            <w:r w:rsidRPr="003C63FB">
              <w:rPr>
                <w:snapToGrid w:val="0"/>
                <w:sz w:val="20"/>
                <w:lang w:val="sv-SE"/>
              </w:rPr>
              <w:t>,</w:t>
            </w:r>
            <w:r w:rsidR="00473235" w:rsidRPr="003C63FB">
              <w:rPr>
                <w:snapToGrid w:val="0"/>
                <w:sz w:val="20"/>
                <w:lang w:val="sv-SE"/>
              </w:rPr>
              <w:t xml:space="preserve"> </w:t>
            </w:r>
          </w:p>
          <w:p w14:paraId="19BED996" w14:textId="492DD32B" w:rsidR="00A14901" w:rsidRPr="003C63FB" w:rsidRDefault="00A769A8" w:rsidP="00051658">
            <w:pPr>
              <w:pStyle w:val="TableParagraph"/>
              <w:widowControl/>
              <w:adjustRightInd w:val="0"/>
              <w:snapToGrid w:val="0"/>
              <w:rPr>
                <w:snapToGrid w:val="0"/>
                <w:sz w:val="20"/>
                <w:lang w:val="sv-SE"/>
              </w:rPr>
            </w:pPr>
            <w:r w:rsidRPr="003C63FB">
              <w:rPr>
                <w:snapToGrid w:val="0"/>
                <w:sz w:val="20"/>
                <w:lang w:val="sv-SE"/>
              </w:rPr>
              <w:t>m</w:t>
            </w:r>
            <w:r w:rsidR="00473235" w:rsidRPr="003C63FB">
              <w:rPr>
                <w:snapToGrid w:val="0"/>
                <w:sz w:val="20"/>
                <w:lang w:val="sv-SE"/>
              </w:rPr>
              <w:t>uskel-svaghed</w:t>
            </w:r>
            <w:r w:rsidRPr="003C63FB">
              <w:rPr>
                <w:snapToGrid w:val="0"/>
                <w:sz w:val="20"/>
                <w:lang w:val="sv-SE"/>
              </w:rPr>
              <w:t>,</w:t>
            </w:r>
            <w:r w:rsidR="00473235" w:rsidRPr="003C63FB">
              <w:rPr>
                <w:snapToGrid w:val="0"/>
                <w:sz w:val="20"/>
                <w:lang w:val="sv-SE"/>
              </w:rPr>
              <w:t xml:space="preserve"> </w:t>
            </w:r>
          </w:p>
          <w:p w14:paraId="49AE182C" w14:textId="7E0AF6E1" w:rsidR="003563EF" w:rsidRPr="001278B6" w:rsidRDefault="00A769A8" w:rsidP="00051658">
            <w:pPr>
              <w:pStyle w:val="TableParagraph"/>
              <w:widowControl/>
              <w:adjustRightInd w:val="0"/>
              <w:snapToGrid w:val="0"/>
              <w:rPr>
                <w:snapToGrid w:val="0"/>
                <w:sz w:val="20"/>
                <w:lang w:val="da-DK"/>
              </w:rPr>
            </w:pPr>
            <w:r>
              <w:rPr>
                <w:snapToGrid w:val="0"/>
                <w:sz w:val="20"/>
                <w:lang w:val="da-DK"/>
              </w:rPr>
              <w:t>r</w:t>
            </w:r>
            <w:r w:rsidR="00473235" w:rsidRPr="001278B6">
              <w:rPr>
                <w:snapToGrid w:val="0"/>
                <w:sz w:val="20"/>
                <w:lang w:val="da-DK"/>
              </w:rPr>
              <w:t>ygsmerter</w:t>
            </w:r>
          </w:p>
        </w:tc>
        <w:tc>
          <w:tcPr>
            <w:tcW w:w="1327" w:type="dxa"/>
            <w:tcBorders>
              <w:top w:val="single" w:sz="4" w:space="0" w:color="000000"/>
              <w:left w:val="single" w:sz="4" w:space="0" w:color="000000"/>
              <w:bottom w:val="single" w:sz="4" w:space="0" w:color="000000"/>
              <w:right w:val="single" w:sz="4" w:space="0" w:color="000000"/>
            </w:tcBorders>
          </w:tcPr>
          <w:p w14:paraId="36E2312B"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1E8508A7" w14:textId="77777777" w:rsidR="003563EF" w:rsidRPr="001278B6" w:rsidRDefault="003563EF" w:rsidP="003C1C0B">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70A9B3D3" w14:textId="77777777" w:rsidR="003563EF" w:rsidRPr="001278B6" w:rsidRDefault="003563EF" w:rsidP="003C1C0B">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39649898"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Osteo-nekrose af kæben</w:t>
            </w:r>
            <w:r w:rsidRPr="001278B6">
              <w:rPr>
                <w:snapToGrid w:val="0"/>
                <w:sz w:val="20"/>
                <w:vertAlign w:val="superscript"/>
                <w:lang w:val="da-DK"/>
              </w:rPr>
              <w:t>b,c</w:t>
            </w:r>
          </w:p>
        </w:tc>
      </w:tr>
      <w:tr w:rsidR="00864D0E" w:rsidRPr="005476B6" w14:paraId="6C8E06F6" w14:textId="77777777" w:rsidTr="00051658">
        <w:trPr>
          <w:cantSplit/>
        </w:trPr>
        <w:tc>
          <w:tcPr>
            <w:tcW w:w="1327" w:type="dxa"/>
            <w:tcBorders>
              <w:top w:val="single" w:sz="4" w:space="0" w:color="000000"/>
              <w:bottom w:val="single" w:sz="4" w:space="0" w:color="000000"/>
              <w:right w:val="single" w:sz="4" w:space="0" w:color="000000"/>
            </w:tcBorders>
          </w:tcPr>
          <w:p w14:paraId="7B08FDEA"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Nyrer og</w:t>
            </w:r>
            <w:r w:rsidR="00A14901">
              <w:rPr>
                <w:snapToGrid w:val="0"/>
                <w:sz w:val="20"/>
                <w:lang w:val="da-DK"/>
              </w:rPr>
              <w:t xml:space="preserve"> </w:t>
            </w:r>
            <w:r w:rsidRPr="001278B6">
              <w:rPr>
                <w:snapToGrid w:val="0"/>
                <w:sz w:val="20"/>
                <w:lang w:val="da-DK"/>
              </w:rPr>
              <w:t>urinveje</w:t>
            </w:r>
          </w:p>
        </w:tc>
        <w:tc>
          <w:tcPr>
            <w:tcW w:w="1327" w:type="dxa"/>
            <w:tcBorders>
              <w:top w:val="single" w:sz="4" w:space="0" w:color="000000"/>
              <w:left w:val="single" w:sz="4" w:space="0" w:color="000000"/>
              <w:bottom w:val="single" w:sz="4" w:space="0" w:color="000000"/>
              <w:right w:val="single" w:sz="4" w:space="0" w:color="000000"/>
            </w:tcBorders>
          </w:tcPr>
          <w:p w14:paraId="2301F0C5"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1C7E8BA9"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Proteinuri</w:t>
            </w:r>
            <w:r w:rsidRPr="001278B6">
              <w:rPr>
                <w:snapToGrid w:val="0"/>
                <w:sz w:val="20"/>
                <w:vertAlign w:val="superscript"/>
                <w:lang w:val="da-DK"/>
              </w:rPr>
              <w:t>a,b</w:t>
            </w:r>
          </w:p>
        </w:tc>
        <w:tc>
          <w:tcPr>
            <w:tcW w:w="1327" w:type="dxa"/>
            <w:tcBorders>
              <w:top w:val="single" w:sz="4" w:space="0" w:color="000000"/>
              <w:left w:val="single" w:sz="4" w:space="0" w:color="000000"/>
              <w:bottom w:val="single" w:sz="4" w:space="0" w:color="000000"/>
              <w:right w:val="single" w:sz="4" w:space="0" w:color="000000"/>
            </w:tcBorders>
          </w:tcPr>
          <w:p w14:paraId="3DC0A0EB"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21EA3F00" w14:textId="77777777" w:rsidR="003563EF" w:rsidRPr="001278B6" w:rsidRDefault="003563EF" w:rsidP="00051658">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327F9E7F"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64F02A27" w14:textId="77777777" w:rsidR="003563EF" w:rsidRPr="001278B6" w:rsidRDefault="003563EF" w:rsidP="00051658">
            <w:pPr>
              <w:pStyle w:val="TableParagraph"/>
              <w:widowControl/>
              <w:adjustRightInd w:val="0"/>
              <w:snapToGrid w:val="0"/>
              <w:rPr>
                <w:snapToGrid w:val="0"/>
                <w:sz w:val="20"/>
                <w:lang w:val="da-DK"/>
              </w:rPr>
            </w:pPr>
          </w:p>
        </w:tc>
      </w:tr>
      <w:tr w:rsidR="00864D0E" w:rsidRPr="005476B6" w14:paraId="280A736D" w14:textId="77777777" w:rsidTr="00051658">
        <w:trPr>
          <w:cantSplit/>
        </w:trPr>
        <w:tc>
          <w:tcPr>
            <w:tcW w:w="1327" w:type="dxa"/>
            <w:tcBorders>
              <w:top w:val="single" w:sz="4" w:space="0" w:color="000000"/>
              <w:bottom w:val="single" w:sz="4" w:space="0" w:color="000000"/>
              <w:right w:val="single" w:sz="4" w:space="0" w:color="000000"/>
            </w:tcBorders>
          </w:tcPr>
          <w:p w14:paraId="1FAE01AE"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Det repro-duktive system og mammae</w:t>
            </w:r>
          </w:p>
        </w:tc>
        <w:tc>
          <w:tcPr>
            <w:tcW w:w="1327" w:type="dxa"/>
            <w:tcBorders>
              <w:top w:val="single" w:sz="4" w:space="0" w:color="000000"/>
              <w:left w:val="single" w:sz="4" w:space="0" w:color="000000"/>
              <w:bottom w:val="single" w:sz="4" w:space="0" w:color="000000"/>
              <w:right w:val="single" w:sz="4" w:space="0" w:color="000000"/>
            </w:tcBorders>
          </w:tcPr>
          <w:p w14:paraId="718342DB"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53A8B2CF"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Bækken-smerter</w:t>
            </w:r>
          </w:p>
        </w:tc>
        <w:tc>
          <w:tcPr>
            <w:tcW w:w="1327" w:type="dxa"/>
            <w:tcBorders>
              <w:top w:val="single" w:sz="4" w:space="0" w:color="000000"/>
              <w:left w:val="single" w:sz="4" w:space="0" w:color="000000"/>
              <w:bottom w:val="single" w:sz="4" w:space="0" w:color="000000"/>
              <w:right w:val="single" w:sz="4" w:space="0" w:color="000000"/>
            </w:tcBorders>
          </w:tcPr>
          <w:p w14:paraId="09E094BB"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07B68222" w14:textId="77777777" w:rsidR="003563EF" w:rsidRPr="001278B6" w:rsidRDefault="003563EF" w:rsidP="00051658">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7FAB0EAA"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605E986D"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Ovarie-svigt</w:t>
            </w:r>
            <w:r w:rsidRPr="001278B6">
              <w:rPr>
                <w:snapToGrid w:val="0"/>
                <w:sz w:val="20"/>
                <w:vertAlign w:val="superscript"/>
                <w:lang w:val="da-DK"/>
              </w:rPr>
              <w:t>a,b</w:t>
            </w:r>
          </w:p>
        </w:tc>
      </w:tr>
      <w:tr w:rsidR="00864D0E" w:rsidRPr="004655B2" w14:paraId="23DBF184" w14:textId="77777777" w:rsidTr="00051658">
        <w:trPr>
          <w:cantSplit/>
        </w:trPr>
        <w:tc>
          <w:tcPr>
            <w:tcW w:w="1327" w:type="dxa"/>
            <w:tcBorders>
              <w:top w:val="single" w:sz="4" w:space="0" w:color="000000"/>
              <w:bottom w:val="single" w:sz="4" w:space="0" w:color="000000"/>
              <w:right w:val="single" w:sz="4" w:space="0" w:color="000000"/>
            </w:tcBorders>
          </w:tcPr>
          <w:p w14:paraId="33FAF0AB"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Medfødte, familiære og genetiske</w:t>
            </w:r>
            <w:r w:rsidR="00A03FE9">
              <w:rPr>
                <w:snapToGrid w:val="0"/>
                <w:sz w:val="20"/>
                <w:lang w:val="da-DK"/>
              </w:rPr>
              <w:t xml:space="preserve"> </w:t>
            </w:r>
            <w:r w:rsidRPr="001278B6">
              <w:rPr>
                <w:snapToGrid w:val="0"/>
                <w:sz w:val="20"/>
                <w:lang w:val="da-DK"/>
              </w:rPr>
              <w:t>sygdomme</w:t>
            </w:r>
          </w:p>
        </w:tc>
        <w:tc>
          <w:tcPr>
            <w:tcW w:w="1327" w:type="dxa"/>
            <w:tcBorders>
              <w:top w:val="single" w:sz="4" w:space="0" w:color="000000"/>
              <w:left w:val="single" w:sz="4" w:space="0" w:color="000000"/>
              <w:bottom w:val="single" w:sz="4" w:space="0" w:color="000000"/>
              <w:right w:val="single" w:sz="4" w:space="0" w:color="000000"/>
            </w:tcBorders>
          </w:tcPr>
          <w:p w14:paraId="3CEFA251"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5032E13B" w14:textId="77777777" w:rsidR="003563EF" w:rsidRPr="001278B6" w:rsidRDefault="003563EF" w:rsidP="00051658">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4AF76C2D"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10FDC8BA" w14:textId="77777777" w:rsidR="003563EF" w:rsidRPr="001278B6" w:rsidRDefault="003563EF" w:rsidP="00051658">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730A3AE5"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6A824D4A"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Føtale anormali-teter</w:t>
            </w:r>
            <w:r w:rsidRPr="001278B6">
              <w:rPr>
                <w:snapToGrid w:val="0"/>
                <w:sz w:val="20"/>
                <w:vertAlign w:val="superscript"/>
                <w:lang w:val="da-DK"/>
              </w:rPr>
              <w:t>a,c</w:t>
            </w:r>
          </w:p>
        </w:tc>
      </w:tr>
      <w:tr w:rsidR="00864D0E" w:rsidRPr="005476B6" w14:paraId="7820D225" w14:textId="77777777" w:rsidTr="00051658">
        <w:trPr>
          <w:cantSplit/>
        </w:trPr>
        <w:tc>
          <w:tcPr>
            <w:tcW w:w="1327" w:type="dxa"/>
            <w:tcBorders>
              <w:top w:val="single" w:sz="4" w:space="0" w:color="000000"/>
              <w:bottom w:val="single" w:sz="4" w:space="0" w:color="000000"/>
              <w:right w:val="single" w:sz="4" w:space="0" w:color="000000"/>
            </w:tcBorders>
          </w:tcPr>
          <w:p w14:paraId="47CD226E" w14:textId="77777777" w:rsidR="003563EF" w:rsidRPr="001278B6" w:rsidRDefault="00473235" w:rsidP="003C1C0B">
            <w:pPr>
              <w:pStyle w:val="TableParagraph"/>
              <w:widowControl/>
              <w:adjustRightInd w:val="0"/>
              <w:snapToGrid w:val="0"/>
              <w:rPr>
                <w:snapToGrid w:val="0"/>
                <w:sz w:val="20"/>
                <w:lang w:val="da-DK"/>
              </w:rPr>
            </w:pPr>
            <w:r w:rsidRPr="001278B6">
              <w:rPr>
                <w:snapToGrid w:val="0"/>
                <w:sz w:val="20"/>
                <w:lang w:val="da-DK"/>
              </w:rPr>
              <w:t>Almene</w:t>
            </w:r>
            <w:r w:rsidR="00A03FE9">
              <w:rPr>
                <w:snapToGrid w:val="0"/>
                <w:sz w:val="20"/>
                <w:lang w:val="da-DK"/>
              </w:rPr>
              <w:t xml:space="preserve"> </w:t>
            </w:r>
            <w:r w:rsidRPr="001278B6">
              <w:rPr>
                <w:snapToGrid w:val="0"/>
                <w:sz w:val="20"/>
                <w:lang w:val="da-DK"/>
              </w:rPr>
              <w:t>symptomer og reaktioner på admini-strations-stedet</w:t>
            </w:r>
          </w:p>
        </w:tc>
        <w:tc>
          <w:tcPr>
            <w:tcW w:w="1327" w:type="dxa"/>
            <w:tcBorders>
              <w:top w:val="single" w:sz="4" w:space="0" w:color="000000"/>
              <w:left w:val="single" w:sz="4" w:space="0" w:color="000000"/>
              <w:bottom w:val="single" w:sz="4" w:space="0" w:color="000000"/>
              <w:right w:val="single" w:sz="4" w:space="0" w:color="000000"/>
            </w:tcBorders>
          </w:tcPr>
          <w:p w14:paraId="23AEA8C2"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Asteni</w:t>
            </w:r>
            <w:r w:rsidR="00A769A8">
              <w:rPr>
                <w:snapToGrid w:val="0"/>
                <w:sz w:val="20"/>
                <w:lang w:val="da-DK"/>
              </w:rPr>
              <w:t xml:space="preserve">, </w:t>
            </w:r>
          </w:p>
          <w:p w14:paraId="7E8CE94C" w14:textId="05AE02EA" w:rsidR="003563EF" w:rsidRPr="001278B6" w:rsidRDefault="00A769A8" w:rsidP="00051658">
            <w:pPr>
              <w:pStyle w:val="TableParagraph"/>
              <w:widowControl/>
              <w:adjustRightInd w:val="0"/>
              <w:snapToGrid w:val="0"/>
              <w:rPr>
                <w:snapToGrid w:val="0"/>
                <w:sz w:val="20"/>
                <w:lang w:val="da-DK"/>
              </w:rPr>
            </w:pPr>
            <w:r>
              <w:rPr>
                <w:snapToGrid w:val="0"/>
                <w:sz w:val="20"/>
                <w:lang w:val="da-DK"/>
              </w:rPr>
              <w:t>t</w:t>
            </w:r>
            <w:r w:rsidR="00473235" w:rsidRPr="001278B6">
              <w:rPr>
                <w:snapToGrid w:val="0"/>
                <w:sz w:val="20"/>
                <w:lang w:val="da-DK"/>
              </w:rPr>
              <w:t>ræthed</w:t>
            </w:r>
          </w:p>
        </w:tc>
        <w:tc>
          <w:tcPr>
            <w:tcW w:w="1328" w:type="dxa"/>
            <w:tcBorders>
              <w:top w:val="single" w:sz="4" w:space="0" w:color="000000"/>
              <w:left w:val="single" w:sz="4" w:space="0" w:color="000000"/>
              <w:bottom w:val="single" w:sz="4" w:space="0" w:color="000000"/>
              <w:right w:val="single" w:sz="4" w:space="0" w:color="000000"/>
            </w:tcBorders>
          </w:tcPr>
          <w:p w14:paraId="7EDF0C1B" w14:textId="77777777" w:rsidR="003563EF" w:rsidRPr="001278B6" w:rsidRDefault="00473235" w:rsidP="00051658">
            <w:pPr>
              <w:pStyle w:val="TableParagraph"/>
              <w:widowControl/>
              <w:adjustRightInd w:val="0"/>
              <w:snapToGrid w:val="0"/>
              <w:rPr>
                <w:snapToGrid w:val="0"/>
                <w:sz w:val="20"/>
                <w:lang w:val="da-DK"/>
              </w:rPr>
            </w:pPr>
            <w:r w:rsidRPr="001278B6">
              <w:rPr>
                <w:snapToGrid w:val="0"/>
                <w:sz w:val="20"/>
                <w:lang w:val="da-DK"/>
              </w:rPr>
              <w:t>Smerter</w:t>
            </w:r>
            <w:r w:rsidR="00A769A8">
              <w:rPr>
                <w:snapToGrid w:val="0"/>
                <w:sz w:val="20"/>
                <w:lang w:val="da-DK"/>
              </w:rPr>
              <w:t xml:space="preserve">, </w:t>
            </w:r>
          </w:p>
          <w:p w14:paraId="4DE05F9E" w14:textId="7FB27125" w:rsidR="00957551" w:rsidRDefault="00A769A8" w:rsidP="00051658">
            <w:pPr>
              <w:pStyle w:val="TableParagraph"/>
              <w:widowControl/>
              <w:adjustRightInd w:val="0"/>
              <w:snapToGrid w:val="0"/>
              <w:rPr>
                <w:snapToGrid w:val="0"/>
                <w:sz w:val="20"/>
                <w:lang w:val="da-DK"/>
              </w:rPr>
            </w:pPr>
            <w:r>
              <w:rPr>
                <w:snapToGrid w:val="0"/>
                <w:sz w:val="20"/>
                <w:lang w:val="da-DK"/>
              </w:rPr>
              <w:t>l</w:t>
            </w:r>
            <w:r w:rsidR="00473235" w:rsidRPr="001278B6">
              <w:rPr>
                <w:snapToGrid w:val="0"/>
                <w:sz w:val="20"/>
                <w:lang w:val="da-DK"/>
              </w:rPr>
              <w:t>etargi</w:t>
            </w:r>
            <w:r>
              <w:rPr>
                <w:snapToGrid w:val="0"/>
                <w:sz w:val="20"/>
                <w:lang w:val="da-DK"/>
              </w:rPr>
              <w:t xml:space="preserve">, </w:t>
            </w:r>
          </w:p>
          <w:p w14:paraId="33C11B52" w14:textId="7BAB83BC" w:rsidR="003563EF" w:rsidRPr="001278B6" w:rsidRDefault="00A769A8" w:rsidP="00051658">
            <w:pPr>
              <w:pStyle w:val="TableParagraph"/>
              <w:widowControl/>
              <w:adjustRightInd w:val="0"/>
              <w:snapToGrid w:val="0"/>
              <w:rPr>
                <w:snapToGrid w:val="0"/>
                <w:sz w:val="20"/>
                <w:lang w:val="da-DK"/>
              </w:rPr>
            </w:pPr>
            <w:r>
              <w:rPr>
                <w:snapToGrid w:val="0"/>
                <w:sz w:val="20"/>
                <w:lang w:val="da-DK"/>
              </w:rPr>
              <w:t>s</w:t>
            </w:r>
            <w:r w:rsidR="00473235" w:rsidRPr="001278B6">
              <w:rPr>
                <w:snapToGrid w:val="0"/>
                <w:sz w:val="20"/>
                <w:lang w:val="da-DK"/>
              </w:rPr>
              <w:t>limhinde-inflammation</w:t>
            </w:r>
          </w:p>
        </w:tc>
        <w:tc>
          <w:tcPr>
            <w:tcW w:w="1327" w:type="dxa"/>
            <w:tcBorders>
              <w:top w:val="single" w:sz="4" w:space="0" w:color="000000"/>
              <w:left w:val="single" w:sz="4" w:space="0" w:color="000000"/>
              <w:bottom w:val="single" w:sz="4" w:space="0" w:color="000000"/>
              <w:right w:val="single" w:sz="4" w:space="0" w:color="000000"/>
            </w:tcBorders>
          </w:tcPr>
          <w:p w14:paraId="1241FA59"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right w:val="single" w:sz="4" w:space="0" w:color="000000"/>
            </w:tcBorders>
          </w:tcPr>
          <w:p w14:paraId="082DEED8" w14:textId="77777777" w:rsidR="003563EF" w:rsidRPr="001278B6" w:rsidRDefault="003563EF" w:rsidP="00051658">
            <w:pPr>
              <w:pStyle w:val="TableParagraph"/>
              <w:widowControl/>
              <w:adjustRightInd w:val="0"/>
              <w:snapToGrid w:val="0"/>
              <w:rPr>
                <w:snapToGrid w:val="0"/>
                <w:sz w:val="20"/>
                <w:lang w:val="da-DK"/>
              </w:rPr>
            </w:pPr>
          </w:p>
        </w:tc>
        <w:tc>
          <w:tcPr>
            <w:tcW w:w="1327" w:type="dxa"/>
            <w:tcBorders>
              <w:top w:val="single" w:sz="4" w:space="0" w:color="000000"/>
              <w:left w:val="single" w:sz="4" w:space="0" w:color="000000"/>
              <w:bottom w:val="single" w:sz="4" w:space="0" w:color="000000"/>
              <w:right w:val="single" w:sz="4" w:space="0" w:color="000000"/>
            </w:tcBorders>
          </w:tcPr>
          <w:p w14:paraId="65308505" w14:textId="77777777" w:rsidR="003563EF" w:rsidRPr="001278B6" w:rsidRDefault="003563EF" w:rsidP="00051658">
            <w:pPr>
              <w:pStyle w:val="TableParagraph"/>
              <w:widowControl/>
              <w:adjustRightInd w:val="0"/>
              <w:snapToGrid w:val="0"/>
              <w:rPr>
                <w:snapToGrid w:val="0"/>
                <w:sz w:val="20"/>
                <w:lang w:val="da-DK"/>
              </w:rPr>
            </w:pPr>
          </w:p>
        </w:tc>
        <w:tc>
          <w:tcPr>
            <w:tcW w:w="1328" w:type="dxa"/>
            <w:tcBorders>
              <w:top w:val="single" w:sz="4" w:space="0" w:color="000000"/>
              <w:left w:val="single" w:sz="4" w:space="0" w:color="000000"/>
              <w:bottom w:val="single" w:sz="4" w:space="0" w:color="000000"/>
            </w:tcBorders>
          </w:tcPr>
          <w:p w14:paraId="116C05A2" w14:textId="77777777" w:rsidR="003563EF" w:rsidRPr="001278B6" w:rsidRDefault="003563EF" w:rsidP="00051658">
            <w:pPr>
              <w:pStyle w:val="TableParagraph"/>
              <w:widowControl/>
              <w:adjustRightInd w:val="0"/>
              <w:snapToGrid w:val="0"/>
              <w:rPr>
                <w:snapToGrid w:val="0"/>
                <w:sz w:val="20"/>
                <w:lang w:val="da-DK"/>
              </w:rPr>
            </w:pPr>
          </w:p>
        </w:tc>
      </w:tr>
    </w:tbl>
    <w:p w14:paraId="1E2ABB6C" w14:textId="77777777" w:rsidR="003563EF" w:rsidRPr="001278B6" w:rsidRDefault="003563EF" w:rsidP="001278B6">
      <w:pPr>
        <w:pStyle w:val="a3"/>
        <w:widowControl/>
        <w:adjustRightInd w:val="0"/>
        <w:snapToGrid w:val="0"/>
        <w:rPr>
          <w:b/>
          <w:snapToGrid w:val="0"/>
          <w:lang w:val="da-DK"/>
        </w:rPr>
      </w:pPr>
    </w:p>
    <w:p w14:paraId="6864D9F3" w14:textId="77777777" w:rsidR="003563EF" w:rsidRDefault="00473235">
      <w:pPr>
        <w:widowControl/>
        <w:adjustRightInd w:val="0"/>
        <w:snapToGrid w:val="0"/>
        <w:rPr>
          <w:snapToGrid w:val="0"/>
          <w:sz w:val="18"/>
          <w:szCs w:val="18"/>
          <w:lang w:val="da-DK"/>
        </w:rPr>
      </w:pPr>
      <w:r w:rsidRPr="001278B6">
        <w:rPr>
          <w:snapToGrid w:val="0"/>
          <w:sz w:val="18"/>
          <w:szCs w:val="18"/>
          <w:lang w:val="da-DK"/>
        </w:rPr>
        <w:t>Tabel 2 viser frekvensen af alvorlige bivirkninger. Alvorlige bivirkninger defineres som bivirkninger med mindst 2 % forskel i forhold til kontrolarmen i kliniske studier for NCI</w:t>
      </w:r>
      <w:r w:rsidR="004B3750">
        <w:rPr>
          <w:snapToGrid w:val="0"/>
          <w:sz w:val="18"/>
          <w:szCs w:val="18"/>
          <w:lang w:val="da-DK"/>
        </w:rPr>
        <w:noBreakHyphen/>
      </w:r>
      <w:r w:rsidRPr="001278B6">
        <w:rPr>
          <w:snapToGrid w:val="0"/>
          <w:sz w:val="18"/>
          <w:szCs w:val="18"/>
          <w:lang w:val="da-DK"/>
        </w:rPr>
        <w:t>CTCAE grad 3</w:t>
      </w:r>
      <w:r w:rsidR="004B3750">
        <w:rPr>
          <w:snapToGrid w:val="0"/>
          <w:sz w:val="18"/>
          <w:szCs w:val="18"/>
          <w:lang w:val="da-DK"/>
        </w:rPr>
        <w:noBreakHyphen/>
      </w:r>
      <w:r w:rsidRPr="001278B6">
        <w:rPr>
          <w:snapToGrid w:val="0"/>
          <w:sz w:val="18"/>
          <w:szCs w:val="18"/>
          <w:lang w:val="da-DK"/>
        </w:rPr>
        <w:t>5 bivirkninger. Tabel 2 inkluderer også bivirkninger, som markedsføringsindehaver har vurderet som klinisk signifikante eller alvorlige. Disse klinisk signifikante bivirkninger blev rapporteret i kliniske studier, men grad 3</w:t>
      </w:r>
      <w:r w:rsidR="004B3750">
        <w:rPr>
          <w:snapToGrid w:val="0"/>
          <w:sz w:val="18"/>
          <w:szCs w:val="18"/>
          <w:lang w:val="da-DK"/>
        </w:rPr>
        <w:noBreakHyphen/>
      </w:r>
      <w:r w:rsidRPr="001278B6">
        <w:rPr>
          <w:snapToGrid w:val="0"/>
          <w:sz w:val="18"/>
          <w:szCs w:val="18"/>
          <w:lang w:val="da-DK"/>
        </w:rPr>
        <w:t>5 bivirkningerne opfyldte ikke grænsen på mindst 2% forskel i forhold til kontrolarmen. Tabel 2 indeholder også klinisk signifikante bivirkninger, som kun blev set post</w:t>
      </w:r>
      <w:r w:rsidR="004B3750">
        <w:rPr>
          <w:snapToGrid w:val="0"/>
          <w:sz w:val="18"/>
          <w:szCs w:val="18"/>
          <w:lang w:val="da-DK"/>
        </w:rPr>
        <w:noBreakHyphen/>
      </w:r>
      <w:r w:rsidRPr="001278B6">
        <w:rPr>
          <w:snapToGrid w:val="0"/>
          <w:sz w:val="18"/>
          <w:szCs w:val="18"/>
          <w:lang w:val="da-DK"/>
        </w:rPr>
        <w:t>marketing, og derfor kendes hverken frekvensen eller NCI</w:t>
      </w:r>
      <w:r w:rsidR="004B3750">
        <w:rPr>
          <w:snapToGrid w:val="0"/>
          <w:sz w:val="18"/>
          <w:szCs w:val="18"/>
          <w:lang w:val="da-DK"/>
        </w:rPr>
        <w:noBreakHyphen/>
      </w:r>
      <w:r w:rsidRPr="001278B6">
        <w:rPr>
          <w:snapToGrid w:val="0"/>
          <w:sz w:val="18"/>
          <w:szCs w:val="18"/>
          <w:lang w:val="da-DK"/>
        </w:rPr>
        <w:t>CTCAE</w:t>
      </w:r>
      <w:r w:rsidR="004B3750">
        <w:rPr>
          <w:snapToGrid w:val="0"/>
          <w:sz w:val="18"/>
          <w:szCs w:val="18"/>
          <w:lang w:val="da-DK"/>
        </w:rPr>
        <w:noBreakHyphen/>
      </w:r>
      <w:r w:rsidRPr="001278B6">
        <w:rPr>
          <w:snapToGrid w:val="0"/>
          <w:sz w:val="18"/>
          <w:szCs w:val="18"/>
          <w:lang w:val="da-DK"/>
        </w:rPr>
        <w:t>graden. Disse klinisk signifikante bivirkninger er derfor inkluderet i Tabel 2 under kolonnen ”Hyppighed ikke kendt”</w:t>
      </w:r>
    </w:p>
    <w:p w14:paraId="000A3691" w14:textId="77777777" w:rsidR="00626055" w:rsidRPr="001278B6" w:rsidRDefault="00626055" w:rsidP="001278B6">
      <w:pPr>
        <w:widowControl/>
        <w:adjustRightInd w:val="0"/>
        <w:snapToGrid w:val="0"/>
        <w:rPr>
          <w:snapToGrid w:val="0"/>
          <w:sz w:val="18"/>
          <w:szCs w:val="18"/>
          <w:lang w:val="da-DK"/>
        </w:rPr>
      </w:pPr>
    </w:p>
    <w:p w14:paraId="22DC12BF"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a</w:t>
      </w:r>
      <w:r w:rsidRPr="001278B6">
        <w:rPr>
          <w:snapToGrid w:val="0"/>
          <w:sz w:val="18"/>
          <w:szCs w:val="18"/>
          <w:lang w:val="da-DK"/>
        </w:rPr>
        <w:t xml:space="preserve"> Termerne repræsenterer grupperede bivirkninger, der beskriver et medicinsk koncept frem for en enkelttilstand eller MedDRA (Medical Dictionary for Regulatory Activities) foretrukne term. Denne gruppe medicinske termer kan involvere samme underliggende patofysiologi (fx arterielle tromboemboliske bivirkninger inklusive cerebrovaskulære tilfælde, myokardieinfarkt, transitorisk iskæmisk attak og andre arterielle tromboemboliske bivirkninger).</w:t>
      </w:r>
    </w:p>
    <w:p w14:paraId="6FC7FA75"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For yderligere information henvises til nedenstående afsnit "Yderligere information om visse alvorlige bivirkninger".</w:t>
      </w:r>
    </w:p>
    <w:p w14:paraId="65E05682"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c</w:t>
      </w:r>
      <w:r w:rsidRPr="001278B6">
        <w:rPr>
          <w:snapToGrid w:val="0"/>
          <w:sz w:val="18"/>
          <w:szCs w:val="18"/>
          <w:lang w:val="da-DK"/>
        </w:rPr>
        <w:t xml:space="preserve"> For yderligere information se tabel 3 ”Bivirkninger rapporteret post</w:t>
      </w:r>
      <w:r w:rsidR="004B3750">
        <w:rPr>
          <w:snapToGrid w:val="0"/>
          <w:sz w:val="18"/>
          <w:szCs w:val="18"/>
          <w:lang w:val="da-DK"/>
        </w:rPr>
        <w:noBreakHyphen/>
      </w:r>
      <w:r w:rsidRPr="001278B6">
        <w:rPr>
          <w:snapToGrid w:val="0"/>
          <w:sz w:val="18"/>
          <w:szCs w:val="18"/>
          <w:lang w:val="da-DK"/>
        </w:rPr>
        <w:t>marketing”</w:t>
      </w:r>
    </w:p>
    <w:p w14:paraId="6A63AABE"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d</w:t>
      </w:r>
      <w:r w:rsidRPr="001278B6">
        <w:rPr>
          <w:snapToGrid w:val="0"/>
          <w:sz w:val="18"/>
          <w:szCs w:val="18"/>
          <w:lang w:val="da-DK"/>
        </w:rPr>
        <w:t xml:space="preserve"> Rektovaginale fistler er de hyppigste fistler i kategorien gastrointestinale</w:t>
      </w:r>
      <w:r w:rsidR="004B3750">
        <w:rPr>
          <w:snapToGrid w:val="0"/>
          <w:sz w:val="18"/>
          <w:szCs w:val="18"/>
          <w:lang w:val="da-DK"/>
        </w:rPr>
        <w:noBreakHyphen/>
      </w:r>
      <w:r w:rsidRPr="001278B6">
        <w:rPr>
          <w:snapToGrid w:val="0"/>
          <w:sz w:val="18"/>
          <w:szCs w:val="18"/>
          <w:lang w:val="da-DK"/>
        </w:rPr>
        <w:t>vaginale fistler.</w:t>
      </w:r>
    </w:p>
    <w:p w14:paraId="0C9A1BFC" w14:textId="77777777" w:rsidR="003563EF" w:rsidRPr="001278B6" w:rsidRDefault="003563EF" w:rsidP="001278B6">
      <w:pPr>
        <w:pStyle w:val="a3"/>
        <w:widowControl/>
        <w:adjustRightInd w:val="0"/>
        <w:snapToGrid w:val="0"/>
        <w:rPr>
          <w:snapToGrid w:val="0"/>
          <w:lang w:val="da-DK"/>
        </w:rPr>
      </w:pPr>
    </w:p>
    <w:p w14:paraId="0F3047AD"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lastRenderedPageBreak/>
        <w:t>Beskrivelse af udvalgte alvorlige bivirkninger</w:t>
      </w:r>
    </w:p>
    <w:p w14:paraId="4A3A6302" w14:textId="77777777" w:rsidR="003563EF" w:rsidRPr="001278B6" w:rsidRDefault="003563EF" w:rsidP="001278B6">
      <w:pPr>
        <w:pStyle w:val="a3"/>
        <w:keepNext/>
        <w:keepLines/>
        <w:widowControl/>
        <w:adjustRightInd w:val="0"/>
        <w:snapToGrid w:val="0"/>
        <w:rPr>
          <w:snapToGrid w:val="0"/>
          <w:lang w:val="da-DK"/>
        </w:rPr>
      </w:pPr>
    </w:p>
    <w:p w14:paraId="3CF50F2E"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Gastrointestinale perforationer og fistler</w:t>
      </w:r>
      <w:r w:rsidRPr="001278B6">
        <w:rPr>
          <w:i/>
          <w:snapToGrid w:val="0"/>
          <w:lang w:val="da-DK"/>
        </w:rPr>
        <w:t xml:space="preserve"> </w:t>
      </w:r>
      <w:r w:rsidRPr="001278B6">
        <w:rPr>
          <w:snapToGrid w:val="0"/>
          <w:lang w:val="da-DK"/>
        </w:rPr>
        <w:t>(se pkt. 4.4.)</w:t>
      </w:r>
    </w:p>
    <w:p w14:paraId="20542E2E" w14:textId="77777777" w:rsidR="003563EF" w:rsidRPr="001278B6" w:rsidRDefault="00C52D30" w:rsidP="001278B6">
      <w:pPr>
        <w:pStyle w:val="a3"/>
        <w:widowControl/>
        <w:adjustRightInd w:val="0"/>
        <w:snapToGrid w:val="0"/>
        <w:rPr>
          <w:snapToGrid w:val="0"/>
          <w:lang w:val="da-DK"/>
        </w:rPr>
      </w:pPr>
      <w:r>
        <w:rPr>
          <w:snapToGrid w:val="0"/>
          <w:lang w:val="da-DK"/>
        </w:rPr>
        <w:t>Bevacizumab</w:t>
      </w:r>
      <w:r w:rsidR="00473235" w:rsidRPr="001278B6">
        <w:rPr>
          <w:snapToGrid w:val="0"/>
          <w:lang w:val="da-DK"/>
        </w:rPr>
        <w:t xml:space="preserve"> er blevet forbundet med alvorlige tilfælde af gastrointestinal perforation.</w:t>
      </w:r>
    </w:p>
    <w:p w14:paraId="587C65B7" w14:textId="77777777" w:rsidR="003563EF" w:rsidRPr="001278B6" w:rsidRDefault="003563EF" w:rsidP="001278B6">
      <w:pPr>
        <w:pStyle w:val="a3"/>
        <w:widowControl/>
        <w:adjustRightInd w:val="0"/>
        <w:snapToGrid w:val="0"/>
        <w:rPr>
          <w:snapToGrid w:val="0"/>
          <w:lang w:val="da-DK"/>
        </w:rPr>
      </w:pPr>
    </w:p>
    <w:p w14:paraId="3756F080" w14:textId="35F4E238" w:rsidR="003563EF" w:rsidRPr="001278B6" w:rsidRDefault="00473235" w:rsidP="001278B6">
      <w:pPr>
        <w:pStyle w:val="a3"/>
        <w:widowControl/>
        <w:adjustRightInd w:val="0"/>
        <w:snapToGrid w:val="0"/>
        <w:rPr>
          <w:snapToGrid w:val="0"/>
          <w:lang w:val="da-DK"/>
        </w:rPr>
      </w:pPr>
      <w:r w:rsidRPr="001278B6">
        <w:rPr>
          <w:snapToGrid w:val="0"/>
          <w:lang w:val="da-DK"/>
        </w:rPr>
        <w:t>Gastrointestinal perforation er blevet rapporteret i kliniske studier med en hyppighed på mindre end 1</w:t>
      </w:r>
      <w:r w:rsidR="00A14901">
        <w:rPr>
          <w:snapToGrid w:val="0"/>
          <w:lang w:val="da-DK"/>
        </w:rPr>
        <w:t> </w:t>
      </w:r>
      <w:r w:rsidRPr="001278B6">
        <w:rPr>
          <w:snapToGrid w:val="0"/>
          <w:lang w:val="da-DK"/>
        </w:rPr>
        <w:t xml:space="preserve">% hos patienter </w:t>
      </w:r>
      <w:r w:rsidR="00A71CE1">
        <w:rPr>
          <w:snapToGrid w:val="0"/>
          <w:lang w:val="da-DK"/>
        </w:rPr>
        <w:t>NSCLC</w:t>
      </w:r>
      <w:r w:rsidRPr="001278B6">
        <w:rPr>
          <w:snapToGrid w:val="0"/>
          <w:lang w:val="da-DK"/>
        </w:rPr>
        <w:t>, op til 1,3% hos patienter med metastatisk brystkræft, op</w:t>
      </w:r>
      <w:r w:rsidR="000D5773">
        <w:rPr>
          <w:snapToGrid w:val="0"/>
          <w:lang w:val="da-DK"/>
        </w:rPr>
        <w:t xml:space="preserve"> </w:t>
      </w:r>
      <w:r w:rsidRPr="001278B6">
        <w:rPr>
          <w:snapToGrid w:val="0"/>
          <w:lang w:val="da-DK"/>
        </w:rPr>
        <w:t xml:space="preserve">til 2,0 % hos patienter med </w:t>
      </w:r>
      <w:r w:rsidR="00A71CE1">
        <w:rPr>
          <w:snapToGrid w:val="0"/>
          <w:lang w:val="da-DK"/>
        </w:rPr>
        <w:t xml:space="preserve">mRCC </w:t>
      </w:r>
      <w:r w:rsidRPr="001278B6">
        <w:rPr>
          <w:snapToGrid w:val="0"/>
          <w:lang w:val="da-DK"/>
        </w:rPr>
        <w:t>eller hos patienter med ovariecancer og op til 2,7 % (herunder gastrointestinale fistler og abscesser) hos patienter med metastatisk kolorektalkræft. Fra et klinisk studie hos patienter med persisterende, recidiverende eller metastatisk cervixcancer (studie GOG</w:t>
      </w:r>
      <w:r w:rsidR="004B3750">
        <w:rPr>
          <w:snapToGrid w:val="0"/>
          <w:lang w:val="da-DK"/>
        </w:rPr>
        <w:noBreakHyphen/>
      </w:r>
      <w:r w:rsidRPr="001278B6">
        <w:rPr>
          <w:snapToGrid w:val="0"/>
          <w:lang w:val="da-DK"/>
        </w:rPr>
        <w:t>0240), blev gastrointestinale perforationer (alle grader) rapporteret hos 3,2% af patienterne og alle havde tidligere fået stråling af bækkenet.</w:t>
      </w:r>
    </w:p>
    <w:p w14:paraId="1D55423B" w14:textId="77777777" w:rsidR="003563EF" w:rsidRPr="001278B6" w:rsidRDefault="003563EF" w:rsidP="001278B6">
      <w:pPr>
        <w:pStyle w:val="a3"/>
        <w:widowControl/>
        <w:adjustRightInd w:val="0"/>
        <w:snapToGrid w:val="0"/>
        <w:rPr>
          <w:snapToGrid w:val="0"/>
          <w:lang w:val="da-DK"/>
        </w:rPr>
      </w:pPr>
    </w:p>
    <w:p w14:paraId="6ADAA234" w14:textId="77777777" w:rsidR="003563EF" w:rsidRPr="001278B6" w:rsidRDefault="00473235" w:rsidP="001278B6">
      <w:pPr>
        <w:pStyle w:val="a3"/>
        <w:widowControl/>
        <w:adjustRightInd w:val="0"/>
        <w:snapToGrid w:val="0"/>
        <w:rPr>
          <w:snapToGrid w:val="0"/>
          <w:lang w:val="da-DK"/>
        </w:rPr>
      </w:pPr>
      <w:r w:rsidRPr="001278B6">
        <w:rPr>
          <w:snapToGrid w:val="0"/>
          <w:lang w:val="da-DK"/>
        </w:rPr>
        <w:t>Forekomsten af disse bivirkninger varierede i type og intensitet fra fri luft set på et almindeligt røntgenbillede af abdomen og som normaliseredes uden behandling til perforation af colon med</w:t>
      </w:r>
      <w:r w:rsidR="000D5773">
        <w:rPr>
          <w:snapToGrid w:val="0"/>
          <w:lang w:val="da-DK"/>
        </w:rPr>
        <w:t xml:space="preserve"> </w:t>
      </w:r>
      <w:r w:rsidRPr="001278B6">
        <w:rPr>
          <w:snapToGrid w:val="0"/>
          <w:lang w:val="da-DK"/>
        </w:rPr>
        <w:t>abdominal absces og dødeligt udfald. I nogle af disse tilfælde var intraabdominal inflammation allerede erkendt, enten fra mavesår, tumornekrose, divertikulitis eller kemoterapiassocieret colitis.</w:t>
      </w:r>
    </w:p>
    <w:p w14:paraId="608D9DC0" w14:textId="77777777" w:rsidR="003563EF" w:rsidRPr="001278B6" w:rsidRDefault="003563EF" w:rsidP="001278B6">
      <w:pPr>
        <w:pStyle w:val="a3"/>
        <w:widowControl/>
        <w:adjustRightInd w:val="0"/>
        <w:snapToGrid w:val="0"/>
        <w:rPr>
          <w:snapToGrid w:val="0"/>
          <w:lang w:val="da-DK"/>
        </w:rPr>
      </w:pPr>
    </w:p>
    <w:p w14:paraId="33E9A824" w14:textId="77777777" w:rsidR="003563EF" w:rsidRPr="001278B6" w:rsidRDefault="00473235" w:rsidP="001278B6">
      <w:pPr>
        <w:pStyle w:val="a3"/>
        <w:widowControl/>
        <w:adjustRightInd w:val="0"/>
        <w:snapToGrid w:val="0"/>
        <w:rPr>
          <w:snapToGrid w:val="0"/>
          <w:lang w:val="da-DK"/>
        </w:rPr>
      </w:pPr>
      <w:r w:rsidRPr="001278B6">
        <w:rPr>
          <w:snapToGrid w:val="0"/>
          <w:lang w:val="da-DK"/>
        </w:rPr>
        <w:t>Der blev rapporteret dødelig udgang i ca. en tredjedel af de alvorlige tilfælde af gastrointestinal perforation, hvilket svarer til 0,2</w:t>
      </w:r>
      <w:r w:rsidR="004B3750">
        <w:rPr>
          <w:snapToGrid w:val="0"/>
          <w:lang w:val="da-DK"/>
        </w:rPr>
        <w:noBreakHyphen/>
      </w:r>
      <w:r w:rsidRPr="001278B6">
        <w:rPr>
          <w:snapToGrid w:val="0"/>
          <w:lang w:val="da-DK"/>
        </w:rPr>
        <w:t xml:space="preserve">1 % af alle </w:t>
      </w:r>
      <w:r w:rsidR="00AF4B5E">
        <w:rPr>
          <w:snapToGrid w:val="0"/>
          <w:lang w:val="da-DK"/>
        </w:rPr>
        <w:t>bevacizumab</w:t>
      </w:r>
      <w:r w:rsidRPr="001278B6">
        <w:rPr>
          <w:snapToGrid w:val="0"/>
          <w:lang w:val="da-DK"/>
        </w:rPr>
        <w:t>behandlede patienter.</w:t>
      </w:r>
    </w:p>
    <w:p w14:paraId="25E43B4E" w14:textId="77777777" w:rsidR="003563EF" w:rsidRPr="001278B6" w:rsidRDefault="003563EF" w:rsidP="001278B6">
      <w:pPr>
        <w:pStyle w:val="a3"/>
        <w:widowControl/>
        <w:adjustRightInd w:val="0"/>
        <w:snapToGrid w:val="0"/>
        <w:rPr>
          <w:snapToGrid w:val="0"/>
          <w:lang w:val="da-DK"/>
        </w:rPr>
      </w:pPr>
    </w:p>
    <w:p w14:paraId="3FC3EB17"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kliniske studier med </w:t>
      </w:r>
      <w:r w:rsidR="00AF4B5E">
        <w:rPr>
          <w:snapToGrid w:val="0"/>
          <w:lang w:val="da-DK"/>
        </w:rPr>
        <w:t>bevacizumab</w:t>
      </w:r>
      <w:r w:rsidRPr="001278B6">
        <w:rPr>
          <w:snapToGrid w:val="0"/>
          <w:lang w:val="da-DK"/>
        </w:rPr>
        <w:t xml:space="preserve"> er gastrointestinale fistler (alle grader) blevet rapporteret hos op til 2</w:t>
      </w:r>
      <w:r w:rsidR="00974378">
        <w:rPr>
          <w:snapToGrid w:val="0"/>
          <w:lang w:val="da-DK"/>
        </w:rPr>
        <w:t> </w:t>
      </w:r>
      <w:r w:rsidRPr="001278B6">
        <w:rPr>
          <w:snapToGrid w:val="0"/>
          <w:lang w:val="da-DK"/>
        </w:rPr>
        <w:t>% af patienterne med metastatisk kolorektalkræft og ovariecancer, men blev også rapporteret mindre hyppigt hos patienter med andre cancertyper.</w:t>
      </w:r>
    </w:p>
    <w:p w14:paraId="5A1E9D55" w14:textId="77777777" w:rsidR="003563EF" w:rsidRPr="001278B6" w:rsidRDefault="003563EF" w:rsidP="001278B6">
      <w:pPr>
        <w:pStyle w:val="a3"/>
        <w:widowControl/>
        <w:adjustRightInd w:val="0"/>
        <w:snapToGrid w:val="0"/>
        <w:rPr>
          <w:snapToGrid w:val="0"/>
          <w:lang w:val="da-DK"/>
        </w:rPr>
      </w:pPr>
    </w:p>
    <w:p w14:paraId="6386A6C2"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Gastrointestinale</w:t>
      </w:r>
      <w:r w:rsidR="004B3750" w:rsidRPr="00F466A3">
        <w:rPr>
          <w:i/>
          <w:snapToGrid w:val="0"/>
          <w:u w:val="single"/>
          <w:lang w:val="da-DK"/>
        </w:rPr>
        <w:noBreakHyphen/>
      </w:r>
      <w:r w:rsidRPr="00F466A3">
        <w:rPr>
          <w:i/>
          <w:snapToGrid w:val="0"/>
          <w:u w:val="single"/>
          <w:lang w:val="da-DK"/>
        </w:rPr>
        <w:t>vaginale fistler i GOG</w:t>
      </w:r>
      <w:r w:rsidR="004B3750" w:rsidRPr="00F466A3">
        <w:rPr>
          <w:i/>
          <w:snapToGrid w:val="0"/>
          <w:u w:val="single"/>
          <w:lang w:val="da-DK"/>
        </w:rPr>
        <w:noBreakHyphen/>
      </w:r>
      <w:r w:rsidRPr="00F466A3">
        <w:rPr>
          <w:i/>
          <w:snapToGrid w:val="0"/>
          <w:u w:val="single"/>
          <w:lang w:val="da-DK"/>
        </w:rPr>
        <w:t>0240 studiet</w:t>
      </w:r>
    </w:p>
    <w:p w14:paraId="3FB85B5C"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studie hos patienter med persisterende, recidiverende eller metastatisk cervixcancer var forekomsten af gastrointestinale</w:t>
      </w:r>
      <w:r w:rsidR="004B3750">
        <w:rPr>
          <w:snapToGrid w:val="0"/>
          <w:lang w:val="da-DK"/>
        </w:rPr>
        <w:noBreakHyphen/>
      </w:r>
      <w:r w:rsidRPr="001278B6">
        <w:rPr>
          <w:snapToGrid w:val="0"/>
          <w:lang w:val="da-DK"/>
        </w:rPr>
        <w:t xml:space="preserve">vaginale fistler 8,3 % hos </w:t>
      </w:r>
      <w:r w:rsidR="00AF4B5E">
        <w:rPr>
          <w:snapToGrid w:val="0"/>
          <w:lang w:val="da-DK"/>
        </w:rPr>
        <w:t>bevacizumab</w:t>
      </w:r>
      <w:r w:rsidRPr="001278B6">
        <w:rPr>
          <w:snapToGrid w:val="0"/>
          <w:lang w:val="da-DK"/>
        </w:rPr>
        <w:t>behandlede patienter og 0,9 % i kontrolgruppen. Alle havde tidligere fået strålebehandling af bækkenet. Forekomsten af gastrointestinale</w:t>
      </w:r>
      <w:r w:rsidR="004B3750">
        <w:rPr>
          <w:snapToGrid w:val="0"/>
          <w:lang w:val="da-DK"/>
        </w:rPr>
        <w:noBreakHyphen/>
      </w:r>
      <w:r w:rsidRPr="001278B6">
        <w:rPr>
          <w:snapToGrid w:val="0"/>
          <w:lang w:val="da-DK"/>
        </w:rPr>
        <w:t xml:space="preserve">vaginale fistler hos patienter, som var behandlet med </w:t>
      </w:r>
      <w:r w:rsidR="00AF4B5E">
        <w:rPr>
          <w:snapToGrid w:val="0"/>
          <w:lang w:val="da-DK"/>
        </w:rPr>
        <w:t>bevacizumab</w:t>
      </w:r>
      <w:r w:rsidRPr="001278B6">
        <w:rPr>
          <w:snapToGrid w:val="0"/>
          <w:lang w:val="da-DK"/>
        </w:rPr>
        <w:t>+kemoterapi, var højere hos patienter med recidiv indenfor strålefeltet af tidligere strålebehandling (16,7%) sammenlignet med patienter, som ikke tidligere havde fået strålebehandling og/eller patienter med ingen recidiv indenfor strålefeltet af tidligere strålebehandling (3.6%). Den tilsvarende forekomst hos kontrolgruppen, som blev behandlet med kemoterapi alene, var henholdsvis 1,1% og 0,8%.</w:t>
      </w:r>
    </w:p>
    <w:p w14:paraId="1E95AE11" w14:textId="77777777" w:rsidR="003563EF" w:rsidRPr="001278B6" w:rsidRDefault="00473235" w:rsidP="001278B6">
      <w:pPr>
        <w:pStyle w:val="a3"/>
        <w:widowControl/>
        <w:adjustRightInd w:val="0"/>
        <w:snapToGrid w:val="0"/>
        <w:rPr>
          <w:snapToGrid w:val="0"/>
          <w:lang w:val="da-DK"/>
        </w:rPr>
      </w:pPr>
      <w:r w:rsidRPr="001278B6">
        <w:rPr>
          <w:snapToGrid w:val="0"/>
          <w:lang w:val="da-DK"/>
        </w:rPr>
        <w:t>Patienter, som får gastroinstestinale</w:t>
      </w:r>
      <w:r w:rsidR="004B3750">
        <w:rPr>
          <w:snapToGrid w:val="0"/>
          <w:lang w:val="da-DK"/>
        </w:rPr>
        <w:noBreakHyphen/>
      </w:r>
      <w:r w:rsidRPr="001278B6">
        <w:rPr>
          <w:snapToGrid w:val="0"/>
          <w:lang w:val="da-DK"/>
        </w:rPr>
        <w:t>vaginale fistler, kan også have tarmobstruktion, som kræver kirurgisk indgreb såvel som stomi.</w:t>
      </w:r>
    </w:p>
    <w:p w14:paraId="6F438D40" w14:textId="77777777" w:rsidR="003563EF" w:rsidRPr="001278B6" w:rsidRDefault="003563EF" w:rsidP="001278B6">
      <w:pPr>
        <w:pStyle w:val="a3"/>
        <w:widowControl/>
        <w:adjustRightInd w:val="0"/>
        <w:snapToGrid w:val="0"/>
        <w:rPr>
          <w:snapToGrid w:val="0"/>
          <w:lang w:val="da-DK"/>
        </w:rPr>
      </w:pPr>
    </w:p>
    <w:p w14:paraId="0D8ED09B"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Ikke gastrointestinale fistler</w:t>
      </w:r>
      <w:r w:rsidRPr="001278B6">
        <w:rPr>
          <w:i/>
          <w:snapToGrid w:val="0"/>
          <w:lang w:val="da-DK"/>
        </w:rPr>
        <w:t xml:space="preserve"> </w:t>
      </w:r>
      <w:r w:rsidRPr="001278B6">
        <w:rPr>
          <w:snapToGrid w:val="0"/>
          <w:lang w:val="da-DK"/>
        </w:rPr>
        <w:t>(se pkt. 4.4)</w:t>
      </w:r>
    </w:p>
    <w:p w14:paraId="3AE583A1"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Brugen af </w:t>
      </w:r>
      <w:r w:rsidR="00AF4B5E">
        <w:rPr>
          <w:snapToGrid w:val="0"/>
          <w:lang w:val="da-DK"/>
        </w:rPr>
        <w:t>bevacizumab</w:t>
      </w:r>
      <w:r w:rsidRPr="001278B6">
        <w:rPr>
          <w:snapToGrid w:val="0"/>
          <w:lang w:val="da-DK"/>
        </w:rPr>
        <w:t xml:space="preserve"> er blevet forbundet med alvorlige tilfælde af fistler, herunder også letale tilfælde.</w:t>
      </w:r>
    </w:p>
    <w:p w14:paraId="11F78F9B" w14:textId="77777777" w:rsidR="003563EF" w:rsidRPr="001278B6" w:rsidRDefault="003563EF" w:rsidP="001278B6">
      <w:pPr>
        <w:pStyle w:val="a3"/>
        <w:widowControl/>
        <w:adjustRightInd w:val="0"/>
        <w:snapToGrid w:val="0"/>
        <w:rPr>
          <w:snapToGrid w:val="0"/>
          <w:lang w:val="da-DK"/>
        </w:rPr>
      </w:pPr>
    </w:p>
    <w:p w14:paraId="614CF829"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klinisk studie hos patienter med persisterende, recidiverende eller metastatisk cervixcancer (GOG</w:t>
      </w:r>
      <w:r w:rsidR="004B3750">
        <w:rPr>
          <w:snapToGrid w:val="0"/>
          <w:lang w:val="da-DK"/>
        </w:rPr>
        <w:noBreakHyphen/>
      </w:r>
      <w:r w:rsidRPr="001278B6">
        <w:rPr>
          <w:snapToGrid w:val="0"/>
          <w:lang w:val="da-DK"/>
        </w:rPr>
        <w:t xml:space="preserve">0240) blev det rapporteret, at 1,8 % af de </w:t>
      </w:r>
      <w:r w:rsidR="00AF4B5E">
        <w:rPr>
          <w:snapToGrid w:val="0"/>
          <w:lang w:val="da-DK"/>
        </w:rPr>
        <w:t>bevacizumab</w:t>
      </w:r>
      <w:r w:rsidRPr="001278B6">
        <w:rPr>
          <w:snapToGrid w:val="0"/>
          <w:lang w:val="da-DK"/>
        </w:rPr>
        <w:t>behandlede patienter og 1,4 % af patienterne i kontrolgruppen havde haft ikke</w:t>
      </w:r>
      <w:r w:rsidR="004B3750">
        <w:rPr>
          <w:snapToGrid w:val="0"/>
          <w:lang w:val="da-DK"/>
        </w:rPr>
        <w:noBreakHyphen/>
      </w:r>
      <w:r w:rsidRPr="001278B6">
        <w:rPr>
          <w:snapToGrid w:val="0"/>
          <w:lang w:val="da-DK"/>
        </w:rPr>
        <w:t xml:space="preserve">gastrointestinale </w:t>
      </w:r>
      <w:r w:rsidR="004B3750">
        <w:rPr>
          <w:snapToGrid w:val="0"/>
          <w:lang w:val="da-DK"/>
        </w:rPr>
        <w:noBreakHyphen/>
      </w:r>
      <w:r w:rsidRPr="001278B6">
        <w:rPr>
          <w:snapToGrid w:val="0"/>
          <w:lang w:val="da-DK"/>
        </w:rPr>
        <w:t xml:space="preserve">vaginale, </w:t>
      </w:r>
      <w:r w:rsidR="004B3750">
        <w:rPr>
          <w:snapToGrid w:val="0"/>
          <w:lang w:val="da-DK"/>
        </w:rPr>
        <w:noBreakHyphen/>
      </w:r>
      <w:r w:rsidRPr="001278B6">
        <w:rPr>
          <w:snapToGrid w:val="0"/>
          <w:lang w:val="da-DK"/>
        </w:rPr>
        <w:t>vesikale eller gynækologiske fistler.</w:t>
      </w:r>
    </w:p>
    <w:p w14:paraId="60D92857" w14:textId="77777777" w:rsidR="003563EF" w:rsidRPr="001278B6" w:rsidRDefault="003563EF" w:rsidP="001278B6">
      <w:pPr>
        <w:pStyle w:val="a3"/>
        <w:widowControl/>
        <w:adjustRightInd w:val="0"/>
        <w:snapToGrid w:val="0"/>
        <w:rPr>
          <w:snapToGrid w:val="0"/>
          <w:lang w:val="da-DK"/>
        </w:rPr>
      </w:pPr>
    </w:p>
    <w:p w14:paraId="05ED7D95" w14:textId="77777777" w:rsidR="003563EF" w:rsidRPr="001278B6" w:rsidRDefault="00473235" w:rsidP="001278B6">
      <w:pPr>
        <w:pStyle w:val="a3"/>
        <w:widowControl/>
        <w:adjustRightInd w:val="0"/>
        <w:snapToGrid w:val="0"/>
        <w:rPr>
          <w:snapToGrid w:val="0"/>
          <w:lang w:val="da-DK"/>
        </w:rPr>
      </w:pPr>
      <w:r w:rsidRPr="001278B6">
        <w:rPr>
          <w:snapToGrid w:val="0"/>
          <w:lang w:val="da-DK"/>
        </w:rPr>
        <w:t>Ved forskellige indikationer er der set fistler, der involverer andre dele af kroppen end mave</w:t>
      </w:r>
      <w:r w:rsidR="004B3750">
        <w:rPr>
          <w:snapToGrid w:val="0"/>
          <w:lang w:val="da-DK"/>
        </w:rPr>
        <w:noBreakHyphen/>
      </w:r>
      <w:r w:rsidRPr="001278B6">
        <w:rPr>
          <w:snapToGrid w:val="0"/>
          <w:lang w:val="da-DK"/>
        </w:rPr>
        <w:t>tarmkanalen (f.eks. bronkopleurale og biliære fistler). Dette er rapporteret med en frekvens, der svarer til ikke almindelig (≥ 0,1 % til &lt; 1 %). Fistler er også rapporteret post</w:t>
      </w:r>
      <w:r w:rsidR="004B3750">
        <w:rPr>
          <w:snapToGrid w:val="0"/>
          <w:lang w:val="da-DK"/>
        </w:rPr>
        <w:noBreakHyphen/>
      </w:r>
      <w:r w:rsidRPr="001278B6">
        <w:rPr>
          <w:snapToGrid w:val="0"/>
          <w:lang w:val="da-DK"/>
        </w:rPr>
        <w:t>marketing.</w:t>
      </w:r>
    </w:p>
    <w:p w14:paraId="02F766CB" w14:textId="77777777" w:rsidR="003563EF" w:rsidRPr="001278B6" w:rsidRDefault="003563EF" w:rsidP="001278B6">
      <w:pPr>
        <w:pStyle w:val="a3"/>
        <w:widowControl/>
        <w:adjustRightInd w:val="0"/>
        <w:snapToGrid w:val="0"/>
        <w:rPr>
          <w:snapToGrid w:val="0"/>
          <w:lang w:val="da-DK"/>
        </w:rPr>
      </w:pPr>
    </w:p>
    <w:p w14:paraId="682F2CEC"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Bivirkningerne blev rapporteret ved forskellige tidspunkter i behandlingen fra en uge efter behandlingsstart med </w:t>
      </w:r>
      <w:r w:rsidR="00AF4B5E">
        <w:rPr>
          <w:snapToGrid w:val="0"/>
          <w:lang w:val="da-DK"/>
        </w:rPr>
        <w:t>bevacizumab</w:t>
      </w:r>
      <w:r w:rsidRPr="001278B6">
        <w:rPr>
          <w:snapToGrid w:val="0"/>
          <w:lang w:val="da-DK"/>
        </w:rPr>
        <w:t xml:space="preserve"> til mere end et år efter. De fleste bivirkninger optrådte inden for de første 6 måneder af behandlingen.</w:t>
      </w:r>
    </w:p>
    <w:p w14:paraId="74DB35E5" w14:textId="77777777" w:rsidR="003563EF" w:rsidRPr="001278B6" w:rsidRDefault="003563EF" w:rsidP="001278B6">
      <w:pPr>
        <w:pStyle w:val="a3"/>
        <w:widowControl/>
        <w:adjustRightInd w:val="0"/>
        <w:snapToGrid w:val="0"/>
        <w:rPr>
          <w:snapToGrid w:val="0"/>
          <w:lang w:val="da-DK"/>
        </w:rPr>
      </w:pPr>
    </w:p>
    <w:p w14:paraId="18AF9312"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Sårheling</w:t>
      </w:r>
      <w:r w:rsidRPr="001278B6">
        <w:rPr>
          <w:i/>
          <w:snapToGrid w:val="0"/>
          <w:lang w:val="da-DK"/>
        </w:rPr>
        <w:t xml:space="preserve"> </w:t>
      </w:r>
      <w:r w:rsidRPr="001278B6">
        <w:rPr>
          <w:snapToGrid w:val="0"/>
          <w:lang w:val="da-DK"/>
        </w:rPr>
        <w:t>(se pkt. 4.4)</w:t>
      </w:r>
    </w:p>
    <w:p w14:paraId="22A9DD3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Da </w:t>
      </w:r>
      <w:r w:rsidR="00AF4B5E">
        <w:rPr>
          <w:snapToGrid w:val="0"/>
          <w:lang w:val="da-DK"/>
        </w:rPr>
        <w:t>bevacizumab</w:t>
      </w:r>
      <w:r w:rsidRPr="001278B6">
        <w:rPr>
          <w:snapToGrid w:val="0"/>
          <w:lang w:val="da-DK"/>
        </w:rPr>
        <w:t xml:space="preserve"> kan påvirke sårheling negativt, blev patienter som havde fået foretaget større operationer indenfor de sidste 28 dage, ekskluderet fra deltagelse i kliniske studier i fase III.</w:t>
      </w:r>
    </w:p>
    <w:p w14:paraId="6997C830" w14:textId="77777777" w:rsidR="003563EF" w:rsidRPr="001278B6" w:rsidRDefault="003563EF" w:rsidP="001278B6">
      <w:pPr>
        <w:pStyle w:val="a3"/>
        <w:widowControl/>
        <w:adjustRightInd w:val="0"/>
        <w:snapToGrid w:val="0"/>
        <w:rPr>
          <w:snapToGrid w:val="0"/>
          <w:lang w:val="da-DK"/>
        </w:rPr>
      </w:pPr>
    </w:p>
    <w:p w14:paraId="7EE7D165" w14:textId="77777777" w:rsidR="003563EF" w:rsidRPr="001278B6" w:rsidRDefault="00473235" w:rsidP="001278B6">
      <w:pPr>
        <w:pStyle w:val="a3"/>
        <w:widowControl/>
        <w:adjustRightInd w:val="0"/>
        <w:snapToGrid w:val="0"/>
        <w:rPr>
          <w:snapToGrid w:val="0"/>
          <w:lang w:val="da-DK"/>
        </w:rPr>
      </w:pPr>
      <w:r w:rsidRPr="001278B6">
        <w:rPr>
          <w:snapToGrid w:val="0"/>
          <w:lang w:val="da-DK"/>
        </w:rPr>
        <w:t>I kliniske studier for metastatisk kolorektalkræft var der ingen forøget risiko for postoperativ blødning eller sårhelingskomplikationer hos patienter, der fik foretaget større kirurgiske indgreb mellem 28 og 60</w:t>
      </w:r>
      <w:r w:rsidR="00570BFE">
        <w:rPr>
          <w:snapToGrid w:val="0"/>
          <w:lang w:val="da-DK"/>
        </w:rPr>
        <w:t> </w:t>
      </w:r>
      <w:r w:rsidRPr="001278B6">
        <w:rPr>
          <w:snapToGrid w:val="0"/>
          <w:lang w:val="da-DK"/>
        </w:rPr>
        <w:t xml:space="preserve">dage før påbegyndelsen af behandlingen med </w:t>
      </w:r>
      <w:r w:rsidR="00AF4B5E">
        <w:rPr>
          <w:snapToGrid w:val="0"/>
          <w:lang w:val="da-DK"/>
        </w:rPr>
        <w:t>bevacizumab</w:t>
      </w:r>
      <w:r w:rsidRPr="001278B6">
        <w:rPr>
          <w:snapToGrid w:val="0"/>
          <w:lang w:val="da-DK"/>
        </w:rPr>
        <w:t>. Der blev observeret en forøget hyppighed af postoperativ blødning eller sårhelingskomplikationer ved større kirurgiske indgreb i op til 60</w:t>
      </w:r>
      <w:r w:rsidR="00570BFE">
        <w:rPr>
          <w:snapToGrid w:val="0"/>
          <w:lang w:val="da-DK"/>
        </w:rPr>
        <w:t> </w:t>
      </w:r>
      <w:r w:rsidRPr="001278B6">
        <w:rPr>
          <w:snapToGrid w:val="0"/>
          <w:lang w:val="da-DK"/>
        </w:rPr>
        <w:t xml:space="preserve">dage efter indgrebet, hvis patienten var i behandling med </w:t>
      </w:r>
      <w:r w:rsidR="00AF4B5E">
        <w:rPr>
          <w:snapToGrid w:val="0"/>
          <w:lang w:val="da-DK"/>
        </w:rPr>
        <w:t>bevacizumab</w:t>
      </w:r>
      <w:r w:rsidRPr="001278B6">
        <w:rPr>
          <w:snapToGrid w:val="0"/>
          <w:lang w:val="da-DK"/>
        </w:rPr>
        <w:t xml:space="preserve"> på tidspunktet for operationen.</w:t>
      </w:r>
    </w:p>
    <w:p w14:paraId="1E59087A" w14:textId="77777777" w:rsidR="003563EF" w:rsidRPr="001278B6" w:rsidRDefault="00473235" w:rsidP="001278B6">
      <w:pPr>
        <w:pStyle w:val="a3"/>
        <w:widowControl/>
        <w:adjustRightInd w:val="0"/>
        <w:snapToGrid w:val="0"/>
        <w:rPr>
          <w:snapToGrid w:val="0"/>
          <w:lang w:val="da-DK"/>
        </w:rPr>
      </w:pPr>
      <w:r w:rsidRPr="001278B6">
        <w:rPr>
          <w:snapToGrid w:val="0"/>
          <w:lang w:val="da-DK"/>
        </w:rPr>
        <w:t>Hyppigheden varierede mellem 10 % (4/40) og 20 % (3/15).</w:t>
      </w:r>
    </w:p>
    <w:p w14:paraId="58A702AA" w14:textId="77777777" w:rsidR="003563EF" w:rsidRPr="001278B6" w:rsidRDefault="003563EF" w:rsidP="001278B6">
      <w:pPr>
        <w:pStyle w:val="a3"/>
        <w:widowControl/>
        <w:adjustRightInd w:val="0"/>
        <w:snapToGrid w:val="0"/>
        <w:rPr>
          <w:snapToGrid w:val="0"/>
          <w:lang w:val="da-DK"/>
        </w:rPr>
      </w:pPr>
    </w:p>
    <w:p w14:paraId="1A1E2580" w14:textId="77777777" w:rsidR="003563EF" w:rsidRPr="001278B6" w:rsidRDefault="00473235" w:rsidP="001278B6">
      <w:pPr>
        <w:pStyle w:val="a3"/>
        <w:widowControl/>
        <w:adjustRightInd w:val="0"/>
        <w:snapToGrid w:val="0"/>
        <w:rPr>
          <w:snapToGrid w:val="0"/>
          <w:lang w:val="da-DK"/>
        </w:rPr>
      </w:pPr>
      <w:r w:rsidRPr="001278B6">
        <w:rPr>
          <w:snapToGrid w:val="0"/>
          <w:lang w:val="da-DK"/>
        </w:rPr>
        <w:t>Der har været rapporteret alvorlige sårhelingskomplikationer, herunder anastomotiske komplikationer, hvoraf nogle havde dødelig udgang.</w:t>
      </w:r>
    </w:p>
    <w:p w14:paraId="11916F01" w14:textId="77777777" w:rsidR="003563EF" w:rsidRPr="001278B6" w:rsidRDefault="003563EF" w:rsidP="001278B6">
      <w:pPr>
        <w:pStyle w:val="a3"/>
        <w:widowControl/>
        <w:adjustRightInd w:val="0"/>
        <w:snapToGrid w:val="0"/>
        <w:rPr>
          <w:snapToGrid w:val="0"/>
          <w:lang w:val="da-DK"/>
        </w:rPr>
      </w:pPr>
    </w:p>
    <w:p w14:paraId="135C2221" w14:textId="77777777" w:rsidR="003563EF" w:rsidRPr="001278B6" w:rsidRDefault="00473235" w:rsidP="001278B6">
      <w:pPr>
        <w:pStyle w:val="a3"/>
        <w:widowControl/>
        <w:adjustRightInd w:val="0"/>
        <w:snapToGrid w:val="0"/>
        <w:rPr>
          <w:snapToGrid w:val="0"/>
          <w:lang w:val="da-DK"/>
        </w:rPr>
      </w:pPr>
      <w:r w:rsidRPr="001278B6">
        <w:rPr>
          <w:snapToGrid w:val="0"/>
          <w:lang w:val="da-DK"/>
        </w:rPr>
        <w:t>I kliniske studier omhandlende lokalt recidiverende eller metastatisk brystkræft blev der observeret sårhelingskomplikationer af grad 3</w:t>
      </w:r>
      <w:r w:rsidR="004B3750">
        <w:rPr>
          <w:snapToGrid w:val="0"/>
          <w:lang w:val="da-DK"/>
        </w:rPr>
        <w:noBreakHyphen/>
      </w:r>
      <w:r w:rsidRPr="001278B6">
        <w:rPr>
          <w:snapToGrid w:val="0"/>
          <w:lang w:val="da-DK"/>
        </w:rPr>
        <w:t xml:space="preserve">5 hos op til 1,1 % af patienterne, som fik </w:t>
      </w:r>
      <w:r w:rsidR="00AF4B5E">
        <w:rPr>
          <w:snapToGrid w:val="0"/>
          <w:lang w:val="da-DK"/>
        </w:rPr>
        <w:t>bevacizumab</w:t>
      </w:r>
      <w:r w:rsidRPr="001278B6">
        <w:rPr>
          <w:snapToGrid w:val="0"/>
          <w:lang w:val="da-DK"/>
        </w:rPr>
        <w:t>, og hos op til 0,9</w:t>
      </w:r>
      <w:r w:rsidR="00061947">
        <w:rPr>
          <w:snapToGrid w:val="0"/>
          <w:lang w:val="da-DK"/>
        </w:rPr>
        <w:t> </w:t>
      </w:r>
      <w:r w:rsidRPr="001278B6">
        <w:rPr>
          <w:snapToGrid w:val="0"/>
          <w:lang w:val="da-DK"/>
        </w:rPr>
        <w:t>% af patienterne i kontrolarmene (NCI</w:t>
      </w:r>
      <w:r w:rsidR="004B3750">
        <w:rPr>
          <w:snapToGrid w:val="0"/>
          <w:lang w:val="da-DK"/>
        </w:rPr>
        <w:noBreakHyphen/>
      </w:r>
      <w:r w:rsidRPr="001278B6">
        <w:rPr>
          <w:snapToGrid w:val="0"/>
          <w:lang w:val="da-DK"/>
        </w:rPr>
        <w:t>CTCAE v. 3).</w:t>
      </w:r>
    </w:p>
    <w:p w14:paraId="5095F845" w14:textId="77777777" w:rsidR="003563EF" w:rsidRPr="001278B6" w:rsidRDefault="003563EF" w:rsidP="001278B6">
      <w:pPr>
        <w:pStyle w:val="a3"/>
        <w:widowControl/>
        <w:adjustRightInd w:val="0"/>
        <w:snapToGrid w:val="0"/>
        <w:rPr>
          <w:snapToGrid w:val="0"/>
          <w:lang w:val="da-DK"/>
        </w:rPr>
      </w:pPr>
    </w:p>
    <w:p w14:paraId="24625652"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I kliniske studier af ovariecancer blev der observeret sårhelingskomplikationer af grad 3</w:t>
      </w:r>
      <w:r w:rsidR="004B3750">
        <w:rPr>
          <w:snapToGrid w:val="0"/>
          <w:lang w:val="da-DK"/>
        </w:rPr>
        <w:noBreakHyphen/>
      </w:r>
      <w:r w:rsidRPr="001278B6">
        <w:rPr>
          <w:snapToGrid w:val="0"/>
          <w:lang w:val="da-DK"/>
        </w:rPr>
        <w:t>5 hos op til 1,8</w:t>
      </w:r>
      <w:r w:rsidR="00570BFE">
        <w:rPr>
          <w:snapToGrid w:val="0"/>
          <w:lang w:val="da-DK"/>
        </w:rPr>
        <w:t> </w:t>
      </w:r>
      <w:r w:rsidRPr="001278B6">
        <w:rPr>
          <w:snapToGrid w:val="0"/>
          <w:lang w:val="da-DK"/>
        </w:rPr>
        <w:t>% af patienterne i bevacizumab</w:t>
      </w:r>
      <w:r w:rsidR="004B3750">
        <w:rPr>
          <w:snapToGrid w:val="0"/>
          <w:lang w:val="da-DK"/>
        </w:rPr>
        <w:noBreakHyphen/>
      </w:r>
      <w:r w:rsidRPr="001278B6">
        <w:rPr>
          <w:snapToGrid w:val="0"/>
          <w:lang w:val="da-DK"/>
        </w:rPr>
        <w:t>armen i forhold til 0,1 % i kontrolarmen (NCI</w:t>
      </w:r>
      <w:r w:rsidR="004B3750">
        <w:rPr>
          <w:snapToGrid w:val="0"/>
          <w:lang w:val="da-DK"/>
        </w:rPr>
        <w:noBreakHyphen/>
      </w:r>
      <w:r w:rsidRPr="001278B6">
        <w:rPr>
          <w:snapToGrid w:val="0"/>
          <w:lang w:val="da-DK"/>
        </w:rPr>
        <w:t>CTCAE v. 3).</w:t>
      </w:r>
    </w:p>
    <w:p w14:paraId="6B9646CD" w14:textId="77777777" w:rsidR="0079124A" w:rsidRPr="001278B6" w:rsidRDefault="0079124A" w:rsidP="001278B6">
      <w:pPr>
        <w:widowControl/>
        <w:adjustRightInd w:val="0"/>
        <w:snapToGrid w:val="0"/>
        <w:jc w:val="both"/>
        <w:rPr>
          <w:snapToGrid w:val="0"/>
          <w:lang w:val="da-DK"/>
        </w:rPr>
      </w:pPr>
    </w:p>
    <w:p w14:paraId="7F271D75"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Hypertension</w:t>
      </w:r>
      <w:r w:rsidRPr="001278B6">
        <w:rPr>
          <w:i/>
          <w:snapToGrid w:val="0"/>
          <w:lang w:val="da-DK"/>
        </w:rPr>
        <w:t xml:space="preserve"> </w:t>
      </w:r>
      <w:r w:rsidRPr="001278B6">
        <w:rPr>
          <w:snapToGrid w:val="0"/>
          <w:lang w:val="da-DK"/>
        </w:rPr>
        <w:t>(se pkt. 4.4)</w:t>
      </w:r>
    </w:p>
    <w:p w14:paraId="1AA1FC6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kliniske studier, med undtagelse af studie JO25567, var den totale hyppighed af hypertension (alle grader) på op til 42,1 % i </w:t>
      </w:r>
      <w:r w:rsidR="00AF4B5E">
        <w:rPr>
          <w:snapToGrid w:val="0"/>
          <w:lang w:val="da-DK"/>
        </w:rPr>
        <w:t>bevacizumab</w:t>
      </w:r>
      <w:r w:rsidR="004B3750">
        <w:rPr>
          <w:snapToGrid w:val="0"/>
          <w:lang w:val="da-DK"/>
        </w:rPr>
        <w:noBreakHyphen/>
      </w:r>
      <w:r w:rsidRPr="001278B6">
        <w:rPr>
          <w:snapToGrid w:val="0"/>
          <w:lang w:val="da-DK"/>
        </w:rPr>
        <w:t>armene sammenlignet med en hyppighed på op til 14 % i kontrol</w:t>
      </w:r>
      <w:r w:rsidR="004B3750">
        <w:rPr>
          <w:snapToGrid w:val="0"/>
          <w:lang w:val="da-DK"/>
        </w:rPr>
        <w:noBreakHyphen/>
      </w:r>
      <w:r w:rsidRPr="001278B6">
        <w:rPr>
          <w:snapToGrid w:val="0"/>
          <w:lang w:val="da-DK"/>
        </w:rPr>
        <w:t>armene. Den totale hyppighed af NCI</w:t>
      </w:r>
      <w:r w:rsidR="004B3750">
        <w:rPr>
          <w:snapToGrid w:val="0"/>
          <w:lang w:val="da-DK"/>
        </w:rPr>
        <w:noBreakHyphen/>
      </w:r>
      <w:r w:rsidRPr="001278B6">
        <w:rPr>
          <w:snapToGrid w:val="0"/>
          <w:lang w:val="da-DK"/>
        </w:rPr>
        <w:t xml:space="preserve">CTC grad 3 og 4 hypertension blev set hos mellem 0,4 % og 17,9 % af patienterne, som fik </w:t>
      </w:r>
      <w:r w:rsidR="00AF4B5E">
        <w:rPr>
          <w:snapToGrid w:val="0"/>
          <w:lang w:val="da-DK"/>
        </w:rPr>
        <w:t>bevacizumab</w:t>
      </w:r>
      <w:r w:rsidRPr="001278B6">
        <w:rPr>
          <w:snapToGrid w:val="0"/>
          <w:lang w:val="da-DK"/>
        </w:rPr>
        <w:t>. Grad 4 hypertension (hypertensiv krise) forekom hos op til 1,0</w:t>
      </w:r>
      <w:r w:rsidR="000D5773">
        <w:rPr>
          <w:snapToGrid w:val="0"/>
          <w:lang w:val="da-DK"/>
        </w:rPr>
        <w:t> </w:t>
      </w:r>
      <w:r w:rsidRPr="001278B6">
        <w:rPr>
          <w:snapToGrid w:val="0"/>
          <w:lang w:val="da-DK"/>
        </w:rPr>
        <w:t xml:space="preserve">% af patienterne, som fik </w:t>
      </w:r>
      <w:r w:rsidR="00AF4B5E">
        <w:rPr>
          <w:snapToGrid w:val="0"/>
          <w:lang w:val="da-DK"/>
        </w:rPr>
        <w:t>bevacizumab</w:t>
      </w:r>
      <w:r w:rsidRPr="001278B6">
        <w:rPr>
          <w:snapToGrid w:val="0"/>
          <w:lang w:val="da-DK"/>
        </w:rPr>
        <w:t xml:space="preserve"> og kemoterapi, i forhold til op til 0,2 % af patienterne, som fik kemoterapi alene.</w:t>
      </w:r>
    </w:p>
    <w:p w14:paraId="535DC33A" w14:textId="77777777" w:rsidR="003563EF" w:rsidRPr="001278B6" w:rsidRDefault="003563EF" w:rsidP="001278B6">
      <w:pPr>
        <w:pStyle w:val="a3"/>
        <w:widowControl/>
        <w:adjustRightInd w:val="0"/>
        <w:snapToGrid w:val="0"/>
        <w:rPr>
          <w:snapToGrid w:val="0"/>
          <w:lang w:val="da-DK"/>
        </w:rPr>
      </w:pPr>
    </w:p>
    <w:p w14:paraId="4F177BE9"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studie JO25567 blev hypertension af alle grader observeret hos 77,3 % af patienterne, som fik </w:t>
      </w:r>
      <w:r w:rsidR="00AF4B5E">
        <w:rPr>
          <w:snapToGrid w:val="0"/>
          <w:lang w:val="da-DK"/>
        </w:rPr>
        <w:t>bevacizumab</w:t>
      </w:r>
      <w:r w:rsidRPr="001278B6">
        <w:rPr>
          <w:snapToGrid w:val="0"/>
          <w:lang w:val="da-DK"/>
        </w:rPr>
        <w:t xml:space="preserve"> i kombination med erlotinib, som 1.</w:t>
      </w:r>
      <w:r w:rsidR="004B3750">
        <w:rPr>
          <w:snapToGrid w:val="0"/>
          <w:lang w:val="da-DK"/>
        </w:rPr>
        <w:noBreakHyphen/>
      </w:r>
      <w:r w:rsidRPr="001278B6">
        <w:rPr>
          <w:snapToGrid w:val="0"/>
          <w:lang w:val="da-DK"/>
        </w:rPr>
        <w:t>linje behandling af ikke</w:t>
      </w:r>
      <w:r w:rsidR="004B3750">
        <w:rPr>
          <w:snapToGrid w:val="0"/>
          <w:lang w:val="da-DK"/>
        </w:rPr>
        <w:noBreakHyphen/>
      </w:r>
      <w:r w:rsidRPr="001278B6">
        <w:rPr>
          <w:snapToGrid w:val="0"/>
          <w:lang w:val="da-DK"/>
        </w:rPr>
        <w:t>planocellulær NSCLC med EGFR</w:t>
      </w:r>
      <w:r w:rsidR="004B3750">
        <w:rPr>
          <w:snapToGrid w:val="0"/>
          <w:lang w:val="da-DK"/>
        </w:rPr>
        <w:noBreakHyphen/>
      </w:r>
      <w:r w:rsidRPr="001278B6">
        <w:rPr>
          <w:snapToGrid w:val="0"/>
          <w:lang w:val="da-DK"/>
        </w:rPr>
        <w:t xml:space="preserve"> aktiverende mutationer, sammenlignet med 14,3 % af patienterne, som blev behandlet med erlotinib alene. Hypertension af grad 3 forekom hos 60,0 % af patienterne, som fik </w:t>
      </w:r>
      <w:r w:rsidR="00AF4B5E">
        <w:rPr>
          <w:snapToGrid w:val="0"/>
          <w:lang w:val="da-DK"/>
        </w:rPr>
        <w:t>bevacizumab</w:t>
      </w:r>
      <w:r w:rsidRPr="001278B6">
        <w:rPr>
          <w:snapToGrid w:val="0"/>
          <w:lang w:val="da-DK"/>
        </w:rPr>
        <w:t xml:space="preserve"> i kombination med erlotinib, sammenlignet med 11,7% hos patienterne, som blev behandlet med erlotinib alene. Der var ingen tilfælde af hypertension af grad 4 eller 5.</w:t>
      </w:r>
    </w:p>
    <w:p w14:paraId="52F96C71" w14:textId="77777777" w:rsidR="003563EF" w:rsidRPr="001278B6" w:rsidRDefault="003563EF" w:rsidP="001278B6">
      <w:pPr>
        <w:pStyle w:val="a3"/>
        <w:widowControl/>
        <w:adjustRightInd w:val="0"/>
        <w:snapToGrid w:val="0"/>
        <w:rPr>
          <w:snapToGrid w:val="0"/>
          <w:lang w:val="da-DK"/>
        </w:rPr>
      </w:pPr>
    </w:p>
    <w:p w14:paraId="45C1F9E0" w14:textId="77777777" w:rsidR="003563EF" w:rsidRPr="001278B6" w:rsidRDefault="00473235" w:rsidP="001278B6">
      <w:pPr>
        <w:pStyle w:val="a3"/>
        <w:widowControl/>
        <w:adjustRightInd w:val="0"/>
        <w:snapToGrid w:val="0"/>
        <w:rPr>
          <w:snapToGrid w:val="0"/>
          <w:lang w:val="da-DK"/>
        </w:rPr>
      </w:pPr>
      <w:r w:rsidRPr="001278B6">
        <w:rPr>
          <w:snapToGrid w:val="0"/>
          <w:lang w:val="da-DK"/>
        </w:rPr>
        <w:t>Hypertension blev generelt adækvat behandlet med orale antihypertensiva som f.eks. ACE</w:t>
      </w:r>
      <w:r w:rsidR="004B3750">
        <w:rPr>
          <w:snapToGrid w:val="0"/>
          <w:lang w:val="da-DK"/>
        </w:rPr>
        <w:noBreakHyphen/>
      </w:r>
      <w:r w:rsidRPr="001278B6">
        <w:rPr>
          <w:snapToGrid w:val="0"/>
          <w:lang w:val="da-DK"/>
        </w:rPr>
        <w:t xml:space="preserve">hæmmere, diuretika og calciumantagonister. Hypertension resulterede sjældent i afbrydelse af </w:t>
      </w:r>
      <w:r w:rsidR="00AF4B5E">
        <w:rPr>
          <w:snapToGrid w:val="0"/>
          <w:lang w:val="da-DK"/>
        </w:rPr>
        <w:t>bevacizumab</w:t>
      </w:r>
      <w:r w:rsidRPr="001278B6">
        <w:rPr>
          <w:snapToGrid w:val="0"/>
          <w:lang w:val="da-DK"/>
        </w:rPr>
        <w:t>behandlingen eller hospitalsindlæggelse.</w:t>
      </w:r>
    </w:p>
    <w:p w14:paraId="3D9BE383" w14:textId="77777777" w:rsidR="003563EF" w:rsidRPr="001278B6" w:rsidRDefault="003563EF" w:rsidP="001278B6">
      <w:pPr>
        <w:pStyle w:val="a3"/>
        <w:widowControl/>
        <w:adjustRightInd w:val="0"/>
        <w:snapToGrid w:val="0"/>
        <w:rPr>
          <w:snapToGrid w:val="0"/>
          <w:lang w:val="da-DK"/>
        </w:rPr>
      </w:pPr>
    </w:p>
    <w:p w14:paraId="2073E9F7" w14:textId="77777777" w:rsidR="003563EF" w:rsidRPr="001278B6" w:rsidRDefault="00473235" w:rsidP="001278B6">
      <w:pPr>
        <w:pStyle w:val="a3"/>
        <w:widowControl/>
        <w:adjustRightInd w:val="0"/>
        <w:snapToGrid w:val="0"/>
        <w:rPr>
          <w:snapToGrid w:val="0"/>
          <w:lang w:val="da-DK"/>
        </w:rPr>
      </w:pPr>
      <w:r w:rsidRPr="001278B6">
        <w:rPr>
          <w:snapToGrid w:val="0"/>
          <w:lang w:val="da-DK"/>
        </w:rPr>
        <w:t>Meget sjældne tilfælde af hypertensiv encefalopati er rapporteret, enkelte var dødelige.</w:t>
      </w:r>
    </w:p>
    <w:p w14:paraId="19E36640" w14:textId="77777777" w:rsidR="003563EF" w:rsidRPr="001278B6" w:rsidRDefault="003563EF" w:rsidP="001278B6">
      <w:pPr>
        <w:pStyle w:val="a3"/>
        <w:widowControl/>
        <w:adjustRightInd w:val="0"/>
        <w:snapToGrid w:val="0"/>
        <w:rPr>
          <w:snapToGrid w:val="0"/>
          <w:lang w:val="da-DK"/>
        </w:rPr>
      </w:pPr>
    </w:p>
    <w:p w14:paraId="43D65D99"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Risikoen for </w:t>
      </w:r>
      <w:r w:rsidR="00AF4B5E">
        <w:rPr>
          <w:snapToGrid w:val="0"/>
          <w:lang w:val="da-DK"/>
        </w:rPr>
        <w:t>bevacizumab</w:t>
      </w:r>
      <w:r w:rsidRPr="001278B6">
        <w:rPr>
          <w:snapToGrid w:val="0"/>
          <w:lang w:val="da-DK"/>
        </w:rPr>
        <w:t xml:space="preserve">associeret hypertension korrelerede ikke med patienternes </w:t>
      </w:r>
      <w:r w:rsidRPr="001278B6">
        <w:rPr>
          <w:i/>
          <w:snapToGrid w:val="0"/>
          <w:lang w:val="da-DK"/>
        </w:rPr>
        <w:t>baseline</w:t>
      </w:r>
      <w:r w:rsidR="004B3750">
        <w:rPr>
          <w:snapToGrid w:val="0"/>
          <w:lang w:val="da-DK"/>
        </w:rPr>
        <w:noBreakHyphen/>
      </w:r>
      <w:r w:rsidRPr="001278B6">
        <w:rPr>
          <w:snapToGrid w:val="0"/>
          <w:lang w:val="da-DK"/>
        </w:rPr>
        <w:t>karakteristika, med den underliggende sygdom eller med anden samtidig behandling.</w:t>
      </w:r>
    </w:p>
    <w:p w14:paraId="11D180D7" w14:textId="77777777" w:rsidR="003563EF" w:rsidRPr="001278B6" w:rsidRDefault="003563EF" w:rsidP="001278B6">
      <w:pPr>
        <w:pStyle w:val="a3"/>
        <w:widowControl/>
        <w:adjustRightInd w:val="0"/>
        <w:snapToGrid w:val="0"/>
        <w:rPr>
          <w:snapToGrid w:val="0"/>
          <w:lang w:val="da-DK"/>
        </w:rPr>
      </w:pPr>
    </w:p>
    <w:p w14:paraId="2D486BCF"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Posteriort reversibelt encefalopati</w:t>
      </w:r>
      <w:r w:rsidR="004B3750" w:rsidRPr="00F466A3">
        <w:rPr>
          <w:i/>
          <w:snapToGrid w:val="0"/>
          <w:u w:val="single"/>
          <w:lang w:val="da-DK"/>
        </w:rPr>
        <w:noBreakHyphen/>
      </w:r>
      <w:r w:rsidRPr="00F466A3">
        <w:rPr>
          <w:i/>
          <w:snapToGrid w:val="0"/>
          <w:u w:val="single"/>
          <w:lang w:val="da-DK"/>
        </w:rPr>
        <w:t>syndrom (PRE</w:t>
      </w:r>
      <w:r w:rsidRPr="00F466A3">
        <w:rPr>
          <w:snapToGrid w:val="0"/>
          <w:u w:val="single"/>
          <w:lang w:val="da-DK"/>
        </w:rPr>
        <w:t>S)</w:t>
      </w:r>
      <w:r w:rsidRPr="001278B6">
        <w:rPr>
          <w:snapToGrid w:val="0"/>
          <w:lang w:val="da-DK"/>
        </w:rPr>
        <w:t xml:space="preserve"> (se pkt. 4.4)</w:t>
      </w:r>
    </w:p>
    <w:p w14:paraId="4E5CA46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har været sjældne rapporter om symptomer, der stemmer overens med PRES, en sjælden neurologisk forstyrrelse, hos </w:t>
      </w:r>
      <w:r w:rsidR="00AF4B5E">
        <w:rPr>
          <w:snapToGrid w:val="0"/>
          <w:lang w:val="da-DK"/>
        </w:rPr>
        <w:t>bevacizumab</w:t>
      </w:r>
      <w:r w:rsidRPr="001278B6">
        <w:rPr>
          <w:snapToGrid w:val="0"/>
          <w:lang w:val="da-DK"/>
        </w:rPr>
        <w:t>behandlede patienter. Symptomerne kan inkludere kramper, hovedpine, forandret mental status, visuelle forstyrrelser eller kortikal blindhed, med eller uden tilknyttet hypertension. Det kliniske billede af PRES er ofte uspecifikt, og diagnosticeringen kræver derfor en bekræftelse ved en hjernescanning, helst magnetisk resonans</w:t>
      </w:r>
      <w:r w:rsidR="004B3750">
        <w:rPr>
          <w:snapToGrid w:val="0"/>
          <w:lang w:val="da-DK"/>
        </w:rPr>
        <w:noBreakHyphen/>
      </w:r>
      <w:r w:rsidRPr="001278B6">
        <w:rPr>
          <w:snapToGrid w:val="0"/>
          <w:lang w:val="da-DK"/>
        </w:rPr>
        <w:t xml:space="preserve"> (MR) skanning.</w:t>
      </w:r>
    </w:p>
    <w:p w14:paraId="531C4389" w14:textId="77777777" w:rsidR="003563EF" w:rsidRPr="001278B6" w:rsidRDefault="003563EF" w:rsidP="001278B6">
      <w:pPr>
        <w:pStyle w:val="a3"/>
        <w:widowControl/>
        <w:adjustRightInd w:val="0"/>
        <w:snapToGrid w:val="0"/>
        <w:rPr>
          <w:snapToGrid w:val="0"/>
          <w:lang w:val="da-DK"/>
        </w:rPr>
      </w:pPr>
    </w:p>
    <w:p w14:paraId="7E57AE1D" w14:textId="77777777" w:rsidR="003563EF" w:rsidRPr="001278B6" w:rsidRDefault="00473235" w:rsidP="001278B6">
      <w:pPr>
        <w:pStyle w:val="a3"/>
        <w:widowControl/>
        <w:adjustRightInd w:val="0"/>
        <w:snapToGrid w:val="0"/>
        <w:rPr>
          <w:snapToGrid w:val="0"/>
          <w:lang w:val="da-DK"/>
        </w:rPr>
      </w:pPr>
      <w:r w:rsidRPr="001278B6">
        <w:rPr>
          <w:snapToGrid w:val="0"/>
          <w:lang w:val="da-DK"/>
        </w:rPr>
        <w:t>For patienter, der udvikler PRES, anbefales tidlig opdagelse af symptomerne sammen med hurtig behandling af specifikke symptomer, herunder kontrol af hypertension (hvis der er tilknyttet en alvorlig ukontrolleret hypertension) samtidig med, at bevacizumabbehandlingen afbrydes.</w:t>
      </w:r>
    </w:p>
    <w:p w14:paraId="04BF9C7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Symptomerne forsvinder normalt eller bedres i løbet af et par dage efter behandlingsafbrydelse, selvom nogle patienter har oplevet neurologiske sequalae. Sikkerheden ved at genoptage behandlingen med </w:t>
      </w:r>
      <w:r w:rsidR="00AF4B5E">
        <w:rPr>
          <w:snapToGrid w:val="0"/>
          <w:lang w:val="da-DK"/>
        </w:rPr>
        <w:t>bevacizumab</w:t>
      </w:r>
      <w:r w:rsidRPr="001278B6">
        <w:rPr>
          <w:snapToGrid w:val="0"/>
          <w:lang w:val="da-DK"/>
        </w:rPr>
        <w:t xml:space="preserve"> hos patienter, der tidligere har udviklet PRES, er ikke kendt.</w:t>
      </w:r>
    </w:p>
    <w:p w14:paraId="45E1C2D1" w14:textId="77777777" w:rsidR="003563EF" w:rsidRPr="001278B6" w:rsidRDefault="003563EF" w:rsidP="001278B6">
      <w:pPr>
        <w:pStyle w:val="a3"/>
        <w:widowControl/>
        <w:adjustRightInd w:val="0"/>
        <w:snapToGrid w:val="0"/>
        <w:rPr>
          <w:snapToGrid w:val="0"/>
          <w:lang w:val="da-DK"/>
        </w:rPr>
      </w:pPr>
    </w:p>
    <w:p w14:paraId="00FB9A01" w14:textId="77777777"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I kliniske studer er der rapporteret 8 tilfælde af PRES. To af de otte tilfælde var ikke radiologisk bekræftet med MR</w:t>
      </w:r>
      <w:r w:rsidR="004B3750">
        <w:rPr>
          <w:snapToGrid w:val="0"/>
          <w:lang w:val="da-DK"/>
        </w:rPr>
        <w:noBreakHyphen/>
      </w:r>
      <w:r w:rsidRPr="001278B6">
        <w:rPr>
          <w:snapToGrid w:val="0"/>
          <w:lang w:val="da-DK"/>
        </w:rPr>
        <w:t>skanning.</w:t>
      </w:r>
    </w:p>
    <w:p w14:paraId="4F4FD62E" w14:textId="77777777" w:rsidR="003563EF" w:rsidRPr="001278B6" w:rsidRDefault="003563EF" w:rsidP="001278B6">
      <w:pPr>
        <w:pStyle w:val="a3"/>
        <w:widowControl/>
        <w:adjustRightInd w:val="0"/>
        <w:snapToGrid w:val="0"/>
        <w:rPr>
          <w:snapToGrid w:val="0"/>
          <w:lang w:val="da-DK"/>
        </w:rPr>
      </w:pPr>
    </w:p>
    <w:p w14:paraId="44D876EE"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Proteinuri</w:t>
      </w:r>
      <w:r w:rsidRPr="001278B6">
        <w:rPr>
          <w:i/>
          <w:snapToGrid w:val="0"/>
          <w:lang w:val="da-DK"/>
        </w:rPr>
        <w:t xml:space="preserve"> </w:t>
      </w:r>
      <w:r w:rsidRPr="001278B6">
        <w:rPr>
          <w:snapToGrid w:val="0"/>
          <w:lang w:val="da-DK"/>
        </w:rPr>
        <w:t>(se pkt. 4.4)</w:t>
      </w:r>
    </w:p>
    <w:p w14:paraId="3F57740F"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Proteinuri er blevet rapporteret hos mellem 0,7 % og 54,7 % af patienterne, som fik </w:t>
      </w:r>
      <w:r w:rsidR="004373FD">
        <w:rPr>
          <w:snapToGrid w:val="0"/>
          <w:lang w:val="da-DK"/>
        </w:rPr>
        <w:t>bevacizumab</w:t>
      </w:r>
      <w:r w:rsidRPr="001278B6">
        <w:rPr>
          <w:snapToGrid w:val="0"/>
          <w:lang w:val="da-DK"/>
        </w:rPr>
        <w:t xml:space="preserve"> i kliniske studier.</w:t>
      </w:r>
    </w:p>
    <w:p w14:paraId="190C36FF" w14:textId="77777777" w:rsidR="003563EF" w:rsidRPr="001278B6" w:rsidRDefault="003563EF" w:rsidP="001278B6">
      <w:pPr>
        <w:pStyle w:val="a3"/>
        <w:widowControl/>
        <w:adjustRightInd w:val="0"/>
        <w:snapToGrid w:val="0"/>
        <w:rPr>
          <w:snapToGrid w:val="0"/>
          <w:lang w:val="da-DK"/>
        </w:rPr>
      </w:pPr>
    </w:p>
    <w:p w14:paraId="04A69C6C" w14:textId="6CD45C81" w:rsidR="003563EF" w:rsidRPr="001278B6" w:rsidRDefault="00473235" w:rsidP="001278B6">
      <w:pPr>
        <w:pStyle w:val="a3"/>
        <w:widowControl/>
        <w:adjustRightInd w:val="0"/>
        <w:snapToGrid w:val="0"/>
        <w:rPr>
          <w:snapToGrid w:val="0"/>
          <w:lang w:val="da-DK"/>
        </w:rPr>
      </w:pPr>
      <w:r w:rsidRPr="001278B6">
        <w:rPr>
          <w:snapToGrid w:val="0"/>
          <w:lang w:val="da-DK"/>
        </w:rPr>
        <w:t>Proteinurien varierede i sværhed fra klinisk symptomfri, forbigående, spor af protein i urinen til nefrotisk syndrom, dog med størstedelen som grad 1 proteinuri (NCI</w:t>
      </w:r>
      <w:r w:rsidR="004B3750">
        <w:rPr>
          <w:snapToGrid w:val="0"/>
          <w:lang w:val="da-DK"/>
        </w:rPr>
        <w:noBreakHyphen/>
      </w:r>
      <w:r w:rsidRPr="001278B6">
        <w:rPr>
          <w:snapToGrid w:val="0"/>
          <w:lang w:val="da-DK"/>
        </w:rPr>
        <w:t xml:space="preserve">CTCAE v. 3). Der blev rapporteret grad 3 proteinuri hos op til 10,9 % af de behandlede patienter. Grad 4 proteinuri (nefrotisk syndrom) blev set hos op til 1,4 % af de behandlede patienter. Det anbefales at teste for proteinuri før start på </w:t>
      </w:r>
      <w:r w:rsidR="00295FBB">
        <w:rPr>
          <w:iCs/>
          <w:snapToGrid w:val="0"/>
          <w:lang w:val="da-DK"/>
        </w:rPr>
        <w:t>Vegzelma</w:t>
      </w:r>
      <w:r w:rsidR="004B3750">
        <w:rPr>
          <w:snapToGrid w:val="0"/>
          <w:lang w:val="da-DK"/>
        </w:rPr>
        <w:noBreakHyphen/>
      </w:r>
      <w:r w:rsidRPr="001278B6">
        <w:rPr>
          <w:snapToGrid w:val="0"/>
          <w:lang w:val="da-DK"/>
        </w:rPr>
        <w:t>behandling I de fleste kliniske studier medførte proteinkoncentrationer på ≥</w:t>
      </w:r>
      <w:r w:rsidR="00B855A4">
        <w:rPr>
          <w:snapToGrid w:val="0"/>
          <w:lang w:val="da-DK"/>
        </w:rPr>
        <w:t> </w:t>
      </w:r>
      <w:r w:rsidRPr="001278B6">
        <w:rPr>
          <w:snapToGrid w:val="0"/>
          <w:lang w:val="da-DK"/>
        </w:rPr>
        <w:t>2</w:t>
      </w:r>
      <w:r w:rsidR="00B855A4">
        <w:rPr>
          <w:snapToGrid w:val="0"/>
          <w:lang w:val="da-DK"/>
        </w:rPr>
        <w:t> </w:t>
      </w:r>
      <w:r w:rsidRPr="001278B6">
        <w:rPr>
          <w:snapToGrid w:val="0"/>
          <w:lang w:val="da-DK"/>
        </w:rPr>
        <w:t>g/24</w:t>
      </w:r>
      <w:r w:rsidR="00B855A4">
        <w:rPr>
          <w:snapToGrid w:val="0"/>
          <w:lang w:val="da-DK"/>
        </w:rPr>
        <w:t> </w:t>
      </w:r>
      <w:r w:rsidRPr="001278B6">
        <w:rPr>
          <w:snapToGrid w:val="0"/>
          <w:lang w:val="da-DK"/>
        </w:rPr>
        <w:t xml:space="preserve">timer i urinen til seponering af </w:t>
      </w:r>
      <w:r w:rsidR="004373FD">
        <w:rPr>
          <w:snapToGrid w:val="0"/>
          <w:lang w:val="da-DK"/>
        </w:rPr>
        <w:t>bevacizumab</w:t>
      </w:r>
      <w:r w:rsidRPr="001278B6">
        <w:rPr>
          <w:snapToGrid w:val="0"/>
          <w:lang w:val="da-DK"/>
        </w:rPr>
        <w:t>behandlingen, indtil der var nået et niveau på &lt;</w:t>
      </w:r>
      <w:r w:rsidR="00B855A4">
        <w:rPr>
          <w:snapToGrid w:val="0"/>
          <w:lang w:val="da-DK"/>
        </w:rPr>
        <w:t> </w:t>
      </w:r>
      <w:r w:rsidRPr="001278B6">
        <w:rPr>
          <w:snapToGrid w:val="0"/>
          <w:lang w:val="da-DK"/>
        </w:rPr>
        <w:t>2</w:t>
      </w:r>
      <w:r w:rsidR="00B855A4">
        <w:rPr>
          <w:snapToGrid w:val="0"/>
          <w:lang w:val="da-DK"/>
        </w:rPr>
        <w:t> </w:t>
      </w:r>
      <w:r w:rsidRPr="001278B6">
        <w:rPr>
          <w:snapToGrid w:val="0"/>
          <w:lang w:val="da-DK"/>
        </w:rPr>
        <w:t>g/24</w:t>
      </w:r>
      <w:r w:rsidR="00B855A4">
        <w:rPr>
          <w:snapToGrid w:val="0"/>
          <w:lang w:val="da-DK"/>
        </w:rPr>
        <w:t> </w:t>
      </w:r>
      <w:r w:rsidRPr="001278B6">
        <w:rPr>
          <w:snapToGrid w:val="0"/>
          <w:lang w:val="da-DK"/>
        </w:rPr>
        <w:t>timer.</w:t>
      </w:r>
    </w:p>
    <w:p w14:paraId="06CB8F2A" w14:textId="77777777" w:rsidR="0079124A" w:rsidRPr="001278B6" w:rsidRDefault="0079124A" w:rsidP="001278B6">
      <w:pPr>
        <w:widowControl/>
        <w:adjustRightInd w:val="0"/>
        <w:snapToGrid w:val="0"/>
        <w:rPr>
          <w:snapToGrid w:val="0"/>
          <w:lang w:val="da-DK"/>
        </w:rPr>
      </w:pPr>
    </w:p>
    <w:p w14:paraId="4A3FED03"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Blødning</w:t>
      </w:r>
      <w:r w:rsidRPr="001278B6">
        <w:rPr>
          <w:i/>
          <w:snapToGrid w:val="0"/>
          <w:lang w:val="da-DK"/>
        </w:rPr>
        <w:t xml:space="preserve"> </w:t>
      </w:r>
      <w:r w:rsidRPr="001278B6">
        <w:rPr>
          <w:snapToGrid w:val="0"/>
          <w:lang w:val="da-DK"/>
        </w:rPr>
        <w:t>(se pkt. 4.4)</w:t>
      </w:r>
    </w:p>
    <w:p w14:paraId="1174731F" w14:textId="77777777" w:rsidR="003563EF" w:rsidRPr="001278B6" w:rsidRDefault="00473235" w:rsidP="001278B6">
      <w:pPr>
        <w:pStyle w:val="a3"/>
        <w:widowControl/>
        <w:adjustRightInd w:val="0"/>
        <w:snapToGrid w:val="0"/>
        <w:rPr>
          <w:snapToGrid w:val="0"/>
          <w:lang w:val="da-DK"/>
        </w:rPr>
      </w:pPr>
      <w:r w:rsidRPr="001278B6">
        <w:rPr>
          <w:snapToGrid w:val="0"/>
          <w:lang w:val="da-DK"/>
        </w:rPr>
        <w:t>I kliniske studier inden for alle indikationer spændte hyppigheden af NCI</w:t>
      </w:r>
      <w:r w:rsidR="004B3750">
        <w:rPr>
          <w:snapToGrid w:val="0"/>
          <w:lang w:val="da-DK"/>
        </w:rPr>
        <w:noBreakHyphen/>
      </w:r>
      <w:r w:rsidRPr="001278B6">
        <w:rPr>
          <w:snapToGrid w:val="0"/>
          <w:lang w:val="da-DK"/>
        </w:rPr>
        <w:t>CTCAE v.3 grad 3</w:t>
      </w:r>
      <w:r w:rsidR="004B3750">
        <w:rPr>
          <w:snapToGrid w:val="0"/>
          <w:lang w:val="da-DK"/>
        </w:rPr>
        <w:noBreakHyphen/>
      </w:r>
      <w:r w:rsidRPr="001278B6">
        <w:rPr>
          <w:snapToGrid w:val="0"/>
          <w:lang w:val="da-DK"/>
        </w:rPr>
        <w:t xml:space="preserve">5 blødning fra 0,4 % til 6,9 % hos </w:t>
      </w:r>
      <w:r w:rsidR="004373FD">
        <w:rPr>
          <w:snapToGrid w:val="0"/>
          <w:lang w:val="da-DK"/>
        </w:rPr>
        <w:t>bevacizumab</w:t>
      </w:r>
      <w:r w:rsidRPr="001278B6">
        <w:rPr>
          <w:snapToGrid w:val="0"/>
          <w:lang w:val="da-DK"/>
        </w:rPr>
        <w:t xml:space="preserve">behandlede patienter </w:t>
      </w:r>
      <w:r w:rsidRPr="001278B6">
        <w:rPr>
          <w:i/>
          <w:snapToGrid w:val="0"/>
          <w:lang w:val="da-DK"/>
        </w:rPr>
        <w:t xml:space="preserve">versus </w:t>
      </w:r>
      <w:r w:rsidRPr="001278B6">
        <w:rPr>
          <w:snapToGrid w:val="0"/>
          <w:lang w:val="da-DK"/>
        </w:rPr>
        <w:t>4,5 % hos de patienter, der fik kemoterapi alene.</w:t>
      </w:r>
    </w:p>
    <w:p w14:paraId="3B71165F" w14:textId="77777777" w:rsidR="003563EF" w:rsidRPr="001278B6" w:rsidRDefault="003563EF" w:rsidP="001278B6">
      <w:pPr>
        <w:pStyle w:val="a3"/>
        <w:widowControl/>
        <w:adjustRightInd w:val="0"/>
        <w:snapToGrid w:val="0"/>
        <w:rPr>
          <w:snapToGrid w:val="0"/>
          <w:lang w:val="da-DK"/>
        </w:rPr>
      </w:pPr>
    </w:p>
    <w:p w14:paraId="7C74177F"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klinisk studie hos patienter med persisterende, recidiverende eller metastatisk cervixcancer (studie GOG</w:t>
      </w:r>
      <w:r w:rsidR="004B3750">
        <w:rPr>
          <w:snapToGrid w:val="0"/>
          <w:lang w:val="da-DK"/>
        </w:rPr>
        <w:noBreakHyphen/>
      </w:r>
      <w:r w:rsidRPr="001278B6">
        <w:rPr>
          <w:snapToGrid w:val="0"/>
          <w:lang w:val="da-DK"/>
        </w:rPr>
        <w:t>0240) blev blødninger af grad 3</w:t>
      </w:r>
      <w:r w:rsidR="004B3750">
        <w:rPr>
          <w:snapToGrid w:val="0"/>
          <w:lang w:val="da-DK"/>
        </w:rPr>
        <w:noBreakHyphen/>
      </w:r>
      <w:r w:rsidRPr="001278B6">
        <w:rPr>
          <w:snapToGrid w:val="0"/>
          <w:lang w:val="da-DK"/>
        </w:rPr>
        <w:t xml:space="preserve">5 rapporteret hos op til 8,3 % af patienterne, som blev behandlet med </w:t>
      </w:r>
      <w:r w:rsidR="002B27B3">
        <w:rPr>
          <w:snapToGrid w:val="0"/>
          <w:lang w:val="da-DK"/>
        </w:rPr>
        <w:t>bevacizumab</w:t>
      </w:r>
      <w:r w:rsidRPr="001278B6">
        <w:rPr>
          <w:snapToGrid w:val="0"/>
          <w:lang w:val="da-DK"/>
        </w:rPr>
        <w:t xml:space="preserve"> i kombination med paclitaxel og topotecan, sammenlignet med hos op til 4,6 % af patienterne, som blev behandlet med paclitaxel og topotecan.</w:t>
      </w:r>
    </w:p>
    <w:p w14:paraId="0CB64CF0" w14:textId="77777777" w:rsidR="003563EF" w:rsidRPr="001278B6" w:rsidRDefault="003563EF" w:rsidP="001278B6">
      <w:pPr>
        <w:pStyle w:val="a3"/>
        <w:widowControl/>
        <w:adjustRightInd w:val="0"/>
        <w:snapToGrid w:val="0"/>
        <w:rPr>
          <w:snapToGrid w:val="0"/>
          <w:lang w:val="da-DK"/>
        </w:rPr>
      </w:pPr>
    </w:p>
    <w:p w14:paraId="48B258F2" w14:textId="77777777" w:rsidR="003563EF" w:rsidRPr="001278B6" w:rsidRDefault="00473235" w:rsidP="001278B6">
      <w:pPr>
        <w:pStyle w:val="a3"/>
        <w:widowControl/>
        <w:adjustRightInd w:val="0"/>
        <w:snapToGrid w:val="0"/>
        <w:rPr>
          <w:snapToGrid w:val="0"/>
          <w:lang w:val="da-DK"/>
        </w:rPr>
      </w:pPr>
      <w:r w:rsidRPr="001278B6">
        <w:rPr>
          <w:snapToGrid w:val="0"/>
          <w:lang w:val="da-DK"/>
        </w:rPr>
        <w:t>De blødninger, som blev observeret i de kliniske studier, var fortrinsvis tumorassocierede blødninger (se nedenfor) og mindre slimhindeblødninger (f.eks. epistaxis).</w:t>
      </w:r>
    </w:p>
    <w:p w14:paraId="7D0B19DF" w14:textId="77777777" w:rsidR="003563EF" w:rsidRPr="001278B6" w:rsidRDefault="003563EF" w:rsidP="001278B6">
      <w:pPr>
        <w:pStyle w:val="a3"/>
        <w:widowControl/>
        <w:adjustRightInd w:val="0"/>
        <w:snapToGrid w:val="0"/>
        <w:rPr>
          <w:snapToGrid w:val="0"/>
          <w:lang w:val="da-DK"/>
        </w:rPr>
      </w:pPr>
    </w:p>
    <w:p w14:paraId="2DEC77AC"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Tumorassocieret blødning</w:t>
      </w:r>
      <w:r w:rsidRPr="001278B6">
        <w:rPr>
          <w:i/>
          <w:snapToGrid w:val="0"/>
          <w:lang w:val="da-DK"/>
        </w:rPr>
        <w:t xml:space="preserve"> </w:t>
      </w:r>
      <w:r w:rsidRPr="001278B6">
        <w:rPr>
          <w:snapToGrid w:val="0"/>
          <w:lang w:val="da-DK"/>
        </w:rPr>
        <w:t>(se pkt. 4.4)</w:t>
      </w:r>
    </w:p>
    <w:p w14:paraId="63B7DE78"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Alvorlig eller massiv pulmonal blødning/hæmoptyse er observeret fortrinsvis i studier med patienter med NSCLC. Mulige risikofaktorer inkluderer planocellulær histologi, behandling med antireumatiske/antiinflammatoriske lægemidler, behandling med antikoagulantia, tidligere strålebehandling, </w:t>
      </w:r>
      <w:r w:rsidR="004373FD">
        <w:rPr>
          <w:snapToGrid w:val="0"/>
          <w:lang w:val="da-DK"/>
        </w:rPr>
        <w:t>bevacizumab</w:t>
      </w:r>
      <w:r w:rsidRPr="001278B6">
        <w:rPr>
          <w:snapToGrid w:val="0"/>
          <w:lang w:val="da-DK"/>
        </w:rPr>
        <w:t xml:space="preserve">behandling, aterosklerose i anamnesen, central placering af tumor og kavernedannelse i tumorer før eller under behandling. De eneste faktorer, som viste statistisk signifikant sammenhæng med blødning, var </w:t>
      </w:r>
      <w:r w:rsidR="004373FD">
        <w:rPr>
          <w:snapToGrid w:val="0"/>
          <w:lang w:val="da-DK"/>
        </w:rPr>
        <w:t>bevacizumab</w:t>
      </w:r>
      <w:r w:rsidRPr="001278B6">
        <w:rPr>
          <w:snapToGrid w:val="0"/>
          <w:lang w:val="da-DK"/>
        </w:rPr>
        <w:t>behandling og planocellulær histologi. Patienter med NSCLC med kendt planocellulær histologi eller blandet celletype med dominerende planocellulær histologi blev ekskluderet fra de efterfølgende fase III</w:t>
      </w:r>
      <w:r w:rsidR="004B3750">
        <w:rPr>
          <w:snapToGrid w:val="0"/>
          <w:lang w:val="da-DK"/>
        </w:rPr>
        <w:noBreakHyphen/>
      </w:r>
      <w:r w:rsidRPr="001278B6">
        <w:rPr>
          <w:snapToGrid w:val="0"/>
          <w:lang w:val="da-DK"/>
        </w:rPr>
        <w:t>studier, mens patienter med ukendt tumorhistologi blev inkluderet.</w:t>
      </w:r>
    </w:p>
    <w:p w14:paraId="1FDE8B65" w14:textId="77777777" w:rsidR="003563EF" w:rsidRPr="001278B6" w:rsidRDefault="003563EF" w:rsidP="001278B6">
      <w:pPr>
        <w:pStyle w:val="a3"/>
        <w:widowControl/>
        <w:adjustRightInd w:val="0"/>
        <w:snapToGrid w:val="0"/>
        <w:rPr>
          <w:snapToGrid w:val="0"/>
          <w:lang w:val="da-DK"/>
        </w:rPr>
      </w:pPr>
    </w:p>
    <w:p w14:paraId="37966773"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Hos de patienter med NSCLC, der ikke har dominerende planocellulær histologi, der blev behandlet med </w:t>
      </w:r>
      <w:r w:rsidR="004373FD">
        <w:rPr>
          <w:snapToGrid w:val="0"/>
          <w:lang w:val="da-DK"/>
        </w:rPr>
        <w:t>bevacizumab</w:t>
      </w:r>
      <w:r w:rsidRPr="001278B6">
        <w:rPr>
          <w:snapToGrid w:val="0"/>
          <w:lang w:val="da-DK"/>
        </w:rPr>
        <w:t xml:space="preserve"> og kemoterapi, blev der set bivirkninger af alle grader med frekvenser på op til 9,3</w:t>
      </w:r>
      <w:r w:rsidR="00570BFE">
        <w:rPr>
          <w:snapToGrid w:val="0"/>
          <w:lang w:val="da-DK"/>
        </w:rPr>
        <w:t> </w:t>
      </w:r>
      <w:r w:rsidRPr="001278B6">
        <w:rPr>
          <w:snapToGrid w:val="0"/>
          <w:lang w:val="da-DK"/>
        </w:rPr>
        <w:t xml:space="preserve">% sammenlignet med op til 5 % hos de patienter, der kun blev behandlet med kemoterapi. Hos de patienter, der blev behandlet med </w:t>
      </w:r>
      <w:r w:rsidR="004373FD">
        <w:rPr>
          <w:snapToGrid w:val="0"/>
          <w:lang w:val="da-DK"/>
        </w:rPr>
        <w:t>bevacizumab</w:t>
      </w:r>
      <w:r w:rsidRPr="001278B6">
        <w:rPr>
          <w:snapToGrid w:val="0"/>
          <w:lang w:val="da-DK"/>
        </w:rPr>
        <w:t xml:space="preserve"> og kemoterapi, blev grad 3</w:t>
      </w:r>
      <w:r w:rsidR="004B3750">
        <w:rPr>
          <w:snapToGrid w:val="0"/>
          <w:lang w:val="da-DK"/>
        </w:rPr>
        <w:noBreakHyphen/>
      </w:r>
      <w:r w:rsidRPr="001278B6">
        <w:rPr>
          <w:snapToGrid w:val="0"/>
          <w:lang w:val="da-DK"/>
        </w:rPr>
        <w:t>5 bivirkninger set hos op til 2,3</w:t>
      </w:r>
      <w:r w:rsidR="00AB3EA6">
        <w:rPr>
          <w:snapToGrid w:val="0"/>
          <w:lang w:val="da-DK"/>
        </w:rPr>
        <w:t> </w:t>
      </w:r>
      <w:r w:rsidRPr="001278B6">
        <w:rPr>
          <w:snapToGrid w:val="0"/>
          <w:lang w:val="da-DK"/>
        </w:rPr>
        <w:t>%. Dette skal ses i sammenligning med &lt; 1 % af de patienter, der kun fik kemoterapi (NCI</w:t>
      </w:r>
      <w:r w:rsidR="004B3750">
        <w:rPr>
          <w:snapToGrid w:val="0"/>
          <w:lang w:val="da-DK"/>
        </w:rPr>
        <w:noBreakHyphen/>
      </w:r>
      <w:r w:rsidRPr="001278B6">
        <w:rPr>
          <w:snapToGrid w:val="0"/>
          <w:lang w:val="da-DK"/>
        </w:rPr>
        <w:t>CTCAE v. 3). Alvorlig eller massiv pulmonal blødning/hæmoptyse kan opstå pludseligt, og op mod to tredjedele af de alvorlige pulmonale blødninger havde dødelig udgang.</w:t>
      </w:r>
    </w:p>
    <w:p w14:paraId="200B84BD" w14:textId="77777777" w:rsidR="003563EF" w:rsidRPr="001278B6" w:rsidRDefault="003563EF" w:rsidP="001278B6">
      <w:pPr>
        <w:pStyle w:val="a3"/>
        <w:widowControl/>
        <w:adjustRightInd w:val="0"/>
        <w:snapToGrid w:val="0"/>
        <w:rPr>
          <w:snapToGrid w:val="0"/>
          <w:lang w:val="da-DK"/>
        </w:rPr>
      </w:pPr>
    </w:p>
    <w:p w14:paraId="74F017F4" w14:textId="77777777" w:rsidR="003563EF" w:rsidRPr="001278B6" w:rsidRDefault="00473235" w:rsidP="001278B6">
      <w:pPr>
        <w:pStyle w:val="a3"/>
        <w:widowControl/>
        <w:adjustRightInd w:val="0"/>
        <w:snapToGrid w:val="0"/>
        <w:rPr>
          <w:snapToGrid w:val="0"/>
          <w:lang w:val="da-DK"/>
        </w:rPr>
      </w:pPr>
      <w:r w:rsidRPr="001278B6">
        <w:rPr>
          <w:snapToGrid w:val="0"/>
          <w:lang w:val="da-DK"/>
        </w:rPr>
        <w:t>Gastrointestinale blødninger, inklusive rektale blødninger og melæna er blevet rapporteret hos patienter med kolorektalkræft. Disse blødninger er blevet vurderet som tumorassocierede blødninger.</w:t>
      </w:r>
    </w:p>
    <w:p w14:paraId="39D3EEEA" w14:textId="77777777" w:rsidR="003563EF" w:rsidRPr="001278B6" w:rsidRDefault="003563EF" w:rsidP="001278B6">
      <w:pPr>
        <w:pStyle w:val="a3"/>
        <w:widowControl/>
        <w:adjustRightInd w:val="0"/>
        <w:snapToGrid w:val="0"/>
        <w:rPr>
          <w:snapToGrid w:val="0"/>
          <w:lang w:val="da-DK"/>
        </w:rPr>
      </w:pPr>
    </w:p>
    <w:p w14:paraId="128169D7" w14:textId="77777777" w:rsidR="003563EF" w:rsidRPr="001278B6" w:rsidRDefault="00473235" w:rsidP="001278B6">
      <w:pPr>
        <w:pStyle w:val="a3"/>
        <w:widowControl/>
        <w:adjustRightInd w:val="0"/>
        <w:snapToGrid w:val="0"/>
        <w:rPr>
          <w:snapToGrid w:val="0"/>
          <w:lang w:val="da-DK"/>
        </w:rPr>
      </w:pPr>
      <w:r w:rsidRPr="001278B6">
        <w:rPr>
          <w:snapToGrid w:val="0"/>
          <w:lang w:val="da-DK"/>
        </w:rPr>
        <w:t>I sjældne tilfælde blev der også set tumorassocieret blødning ved andre tumortyper og lokalitet, inklusive tilfælde af blødning i centralnervesystemet (CNS) hos patienter med CNS</w:t>
      </w:r>
      <w:r w:rsidR="004B3750">
        <w:rPr>
          <w:snapToGrid w:val="0"/>
          <w:lang w:val="da-DK"/>
        </w:rPr>
        <w:noBreakHyphen/>
      </w:r>
      <w:r w:rsidRPr="001278B6">
        <w:rPr>
          <w:snapToGrid w:val="0"/>
          <w:lang w:val="da-DK"/>
        </w:rPr>
        <w:t>metastaser (se pkt.</w:t>
      </w:r>
      <w:r w:rsidR="00AB3EA6">
        <w:rPr>
          <w:snapToGrid w:val="0"/>
          <w:lang w:val="da-DK"/>
        </w:rPr>
        <w:t> </w:t>
      </w:r>
      <w:r w:rsidRPr="001278B6">
        <w:rPr>
          <w:snapToGrid w:val="0"/>
          <w:lang w:val="da-DK"/>
        </w:rPr>
        <w:t>4.4).</w:t>
      </w:r>
    </w:p>
    <w:p w14:paraId="09C626FD" w14:textId="77777777" w:rsidR="003563EF" w:rsidRPr="001278B6" w:rsidRDefault="003563EF" w:rsidP="001278B6">
      <w:pPr>
        <w:pStyle w:val="a3"/>
        <w:widowControl/>
        <w:adjustRightInd w:val="0"/>
        <w:snapToGrid w:val="0"/>
        <w:rPr>
          <w:snapToGrid w:val="0"/>
          <w:lang w:val="da-DK"/>
        </w:rPr>
      </w:pPr>
    </w:p>
    <w:p w14:paraId="11D26F23" w14:textId="77777777" w:rsidR="003563EF" w:rsidRPr="001278B6" w:rsidRDefault="00473235" w:rsidP="001278B6">
      <w:pPr>
        <w:pStyle w:val="a3"/>
        <w:widowControl/>
        <w:adjustRightInd w:val="0"/>
        <w:snapToGrid w:val="0"/>
        <w:rPr>
          <w:snapToGrid w:val="0"/>
          <w:lang w:val="da-DK"/>
        </w:rPr>
      </w:pPr>
      <w:r w:rsidRPr="001278B6">
        <w:rPr>
          <w:snapToGrid w:val="0"/>
          <w:lang w:val="da-DK"/>
        </w:rPr>
        <w:t>Forekomsten af CNS</w:t>
      </w:r>
      <w:r w:rsidR="004B3750">
        <w:rPr>
          <w:snapToGrid w:val="0"/>
          <w:lang w:val="da-DK"/>
        </w:rPr>
        <w:noBreakHyphen/>
      </w:r>
      <w:r w:rsidRPr="001278B6">
        <w:rPr>
          <w:snapToGrid w:val="0"/>
          <w:lang w:val="da-DK"/>
        </w:rPr>
        <w:t>blødning hos patienter med ubehandlede CNS</w:t>
      </w:r>
      <w:r w:rsidR="004B3750">
        <w:rPr>
          <w:snapToGrid w:val="0"/>
          <w:lang w:val="da-DK"/>
        </w:rPr>
        <w:noBreakHyphen/>
      </w:r>
      <w:r w:rsidRPr="001278B6">
        <w:rPr>
          <w:snapToGrid w:val="0"/>
          <w:lang w:val="da-DK"/>
        </w:rPr>
        <w:t xml:space="preserve">metastaser, som fik bevacizumab, er ikke blevet prospektivt undersøgt i randomiserede kliniske studier. I en retrospektiv, eksplorativ analyse af data fra 13 afsluttede, randomiserede studier hos patienter med forskellige tumortyper, </w:t>
      </w:r>
      <w:r w:rsidRPr="001278B6">
        <w:rPr>
          <w:snapToGrid w:val="0"/>
          <w:lang w:val="da-DK"/>
        </w:rPr>
        <w:lastRenderedPageBreak/>
        <w:t>udviklede 3 ud af 91 patienter (3,3 %) med hjernemetastaser CNS</w:t>
      </w:r>
      <w:r w:rsidR="004B3750">
        <w:rPr>
          <w:snapToGrid w:val="0"/>
          <w:lang w:val="da-DK"/>
        </w:rPr>
        <w:noBreakHyphen/>
      </w:r>
      <w:r w:rsidRPr="001278B6">
        <w:rPr>
          <w:snapToGrid w:val="0"/>
          <w:lang w:val="da-DK"/>
        </w:rPr>
        <w:t>blødning (grad 4 hos alle), når de blev behandlet med bevacizumab, i forhold til 1 tilfælde (grad 5) ud af 96 patienter (1 %), som ikke fik bevacizumab. I to efterfølgende studier hos patienter med behandlede hjernemetastaser (som inkluderede omkring 800 patienter) blev der ved sikkerheds</w:t>
      </w:r>
      <w:r w:rsidR="004B3750">
        <w:rPr>
          <w:snapToGrid w:val="0"/>
          <w:lang w:val="da-DK"/>
        </w:rPr>
        <w:noBreakHyphen/>
      </w:r>
      <w:r w:rsidRPr="001278B6">
        <w:rPr>
          <w:snapToGrid w:val="0"/>
          <w:lang w:val="da-DK"/>
        </w:rPr>
        <w:t>interimanalysen rapporteret om grad 2 CNS</w:t>
      </w:r>
      <w:r w:rsidR="004B3750">
        <w:rPr>
          <w:snapToGrid w:val="0"/>
          <w:lang w:val="da-DK"/>
        </w:rPr>
        <w:noBreakHyphen/>
      </w:r>
      <w:r w:rsidRPr="001278B6">
        <w:rPr>
          <w:snapToGrid w:val="0"/>
          <w:lang w:val="da-DK"/>
        </w:rPr>
        <w:t>blødning hos én patient ud af 83 patienter (1,2 %) behandlet med bevacizumab (NCI</w:t>
      </w:r>
      <w:r w:rsidR="004B3750">
        <w:rPr>
          <w:snapToGrid w:val="0"/>
          <w:lang w:val="da-DK"/>
        </w:rPr>
        <w:noBreakHyphen/>
      </w:r>
      <w:r w:rsidRPr="001278B6">
        <w:rPr>
          <w:snapToGrid w:val="0"/>
          <w:lang w:val="da-DK"/>
        </w:rPr>
        <w:t>CTCAE v.</w:t>
      </w:r>
      <w:r w:rsidR="00AB3EA6">
        <w:rPr>
          <w:snapToGrid w:val="0"/>
          <w:lang w:val="da-DK"/>
        </w:rPr>
        <w:t> </w:t>
      </w:r>
      <w:r w:rsidRPr="001278B6">
        <w:rPr>
          <w:snapToGrid w:val="0"/>
          <w:lang w:val="da-DK"/>
        </w:rPr>
        <w:t>3).</w:t>
      </w:r>
    </w:p>
    <w:p w14:paraId="50FE402B" w14:textId="77777777" w:rsidR="004373FD" w:rsidRDefault="004373FD" w:rsidP="001278B6">
      <w:pPr>
        <w:pStyle w:val="a3"/>
        <w:widowControl/>
        <w:adjustRightInd w:val="0"/>
        <w:snapToGrid w:val="0"/>
        <w:rPr>
          <w:snapToGrid w:val="0"/>
          <w:lang w:val="da-DK"/>
        </w:rPr>
      </w:pPr>
    </w:p>
    <w:p w14:paraId="44F0A323"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På tværs af alle kliniske studier er der set slimhindeblødninger hos op til 50 % af patienterne, som fik </w:t>
      </w:r>
      <w:r w:rsidR="004373FD">
        <w:rPr>
          <w:snapToGrid w:val="0"/>
          <w:lang w:val="da-DK"/>
        </w:rPr>
        <w:t>bevacizumab</w:t>
      </w:r>
      <w:r w:rsidRPr="001278B6">
        <w:rPr>
          <w:snapToGrid w:val="0"/>
          <w:lang w:val="da-DK"/>
        </w:rPr>
        <w:t>. Det drejede sig for det meste om NCI</w:t>
      </w:r>
      <w:r w:rsidR="004B3750">
        <w:rPr>
          <w:snapToGrid w:val="0"/>
          <w:lang w:val="da-DK"/>
        </w:rPr>
        <w:noBreakHyphen/>
      </w:r>
      <w:r w:rsidRPr="001278B6">
        <w:rPr>
          <w:snapToGrid w:val="0"/>
          <w:lang w:val="da-DK"/>
        </w:rPr>
        <w:t>CTCAE v.3 grad 1 næseblod, som varede mindre end 5</w:t>
      </w:r>
      <w:r w:rsidR="00AB3EA6">
        <w:rPr>
          <w:snapToGrid w:val="0"/>
          <w:lang w:val="da-DK"/>
        </w:rPr>
        <w:t> </w:t>
      </w:r>
      <w:r w:rsidRPr="001278B6">
        <w:rPr>
          <w:snapToGrid w:val="0"/>
          <w:lang w:val="da-DK"/>
        </w:rPr>
        <w:t xml:space="preserve">minutter og ophørte uden behandling, og som ikke krævede ændringer i </w:t>
      </w:r>
      <w:r w:rsidR="004373FD">
        <w:rPr>
          <w:snapToGrid w:val="0"/>
          <w:lang w:val="da-DK"/>
        </w:rPr>
        <w:t>bevacizumab</w:t>
      </w:r>
      <w:r w:rsidRPr="001278B6">
        <w:rPr>
          <w:snapToGrid w:val="0"/>
          <w:lang w:val="da-DK"/>
        </w:rPr>
        <w:t>behandlingen.</w:t>
      </w:r>
    </w:p>
    <w:p w14:paraId="5EAF56AC" w14:textId="77777777" w:rsidR="003563EF" w:rsidRPr="001278B6" w:rsidRDefault="00473235" w:rsidP="001278B6">
      <w:pPr>
        <w:pStyle w:val="a3"/>
        <w:widowControl/>
        <w:adjustRightInd w:val="0"/>
        <w:snapToGrid w:val="0"/>
        <w:rPr>
          <w:snapToGrid w:val="0"/>
          <w:lang w:val="da-DK"/>
        </w:rPr>
      </w:pPr>
      <w:r w:rsidRPr="001278B6">
        <w:rPr>
          <w:snapToGrid w:val="0"/>
          <w:lang w:val="da-DK"/>
        </w:rPr>
        <w:t>Kliniske sikkerhedsdata antyder, at forekomsten af mindre mukokutane blødninger (f.eks. epistaxis) kan være dosisafhængig.</w:t>
      </w:r>
    </w:p>
    <w:p w14:paraId="079CDFFA" w14:textId="77777777" w:rsidR="003563EF" w:rsidRPr="001278B6" w:rsidRDefault="003563EF" w:rsidP="001278B6">
      <w:pPr>
        <w:pStyle w:val="a3"/>
        <w:widowControl/>
        <w:adjustRightInd w:val="0"/>
        <w:snapToGrid w:val="0"/>
        <w:rPr>
          <w:snapToGrid w:val="0"/>
          <w:lang w:val="da-DK"/>
        </w:rPr>
      </w:pPr>
    </w:p>
    <w:p w14:paraId="284924FB" w14:textId="77777777" w:rsidR="003563EF" w:rsidRPr="001278B6" w:rsidRDefault="00473235" w:rsidP="001278B6">
      <w:pPr>
        <w:pStyle w:val="a3"/>
        <w:widowControl/>
        <w:adjustRightInd w:val="0"/>
        <w:snapToGrid w:val="0"/>
        <w:rPr>
          <w:snapToGrid w:val="0"/>
          <w:lang w:val="da-DK"/>
        </w:rPr>
      </w:pPr>
      <w:r w:rsidRPr="001278B6">
        <w:rPr>
          <w:snapToGrid w:val="0"/>
          <w:lang w:val="da-DK"/>
        </w:rPr>
        <w:t>Mindre slimhindeblødninger lokaliseret andre steder, som f.eks. gingival eller vaginal blødning har også været rapporteret som mindre almindelige bivirkninger.</w:t>
      </w:r>
    </w:p>
    <w:p w14:paraId="191C7CA4" w14:textId="77777777" w:rsidR="0079124A" w:rsidRPr="001278B6" w:rsidRDefault="0079124A" w:rsidP="001278B6">
      <w:pPr>
        <w:widowControl/>
        <w:adjustRightInd w:val="0"/>
        <w:snapToGrid w:val="0"/>
        <w:rPr>
          <w:snapToGrid w:val="0"/>
          <w:lang w:val="da-DK"/>
        </w:rPr>
      </w:pPr>
    </w:p>
    <w:p w14:paraId="74E64FAE"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Tromboemboli</w:t>
      </w:r>
      <w:r w:rsidRPr="001278B6">
        <w:rPr>
          <w:i/>
          <w:snapToGrid w:val="0"/>
          <w:lang w:val="da-DK"/>
        </w:rPr>
        <w:t xml:space="preserve"> </w:t>
      </w:r>
      <w:r w:rsidRPr="001278B6">
        <w:rPr>
          <w:snapToGrid w:val="0"/>
          <w:lang w:val="da-DK"/>
        </w:rPr>
        <w:t>(se pkt. 4.4)</w:t>
      </w:r>
    </w:p>
    <w:p w14:paraId="428BB794" w14:textId="77777777" w:rsidR="003563EF" w:rsidRPr="001278B6" w:rsidRDefault="003563EF" w:rsidP="001278B6">
      <w:pPr>
        <w:pStyle w:val="a3"/>
        <w:keepNext/>
        <w:keepLines/>
        <w:widowControl/>
        <w:adjustRightInd w:val="0"/>
        <w:snapToGrid w:val="0"/>
        <w:rPr>
          <w:snapToGrid w:val="0"/>
          <w:lang w:val="da-DK"/>
        </w:rPr>
      </w:pPr>
    </w:p>
    <w:p w14:paraId="050E7BDD" w14:textId="77777777" w:rsidR="003563EF" w:rsidRPr="001278B6" w:rsidRDefault="00473235" w:rsidP="001278B6">
      <w:pPr>
        <w:pStyle w:val="a3"/>
        <w:widowControl/>
        <w:adjustRightInd w:val="0"/>
        <w:snapToGrid w:val="0"/>
        <w:rPr>
          <w:snapToGrid w:val="0"/>
          <w:lang w:val="da-DK"/>
        </w:rPr>
      </w:pPr>
      <w:r w:rsidRPr="001278B6">
        <w:rPr>
          <w:i/>
          <w:snapToGrid w:val="0"/>
          <w:lang w:val="da-DK"/>
        </w:rPr>
        <w:t xml:space="preserve">Arteriel tromboemboli: </w:t>
      </w:r>
      <w:r w:rsidRPr="001278B6">
        <w:rPr>
          <w:snapToGrid w:val="0"/>
          <w:lang w:val="da-DK"/>
        </w:rPr>
        <w:t xml:space="preserve">En forøget forekomst af arterielle tromboemboliske bivirkninger blev observeret hos patienter, som blev behandlet med </w:t>
      </w:r>
      <w:r w:rsidR="004373FD">
        <w:rPr>
          <w:snapToGrid w:val="0"/>
          <w:lang w:val="da-DK"/>
        </w:rPr>
        <w:t>bevacizumab</w:t>
      </w:r>
      <w:r w:rsidRPr="001278B6">
        <w:rPr>
          <w:snapToGrid w:val="0"/>
          <w:lang w:val="da-DK"/>
        </w:rPr>
        <w:t>, uanset indikation. Disse bivirkninger inkluderer cerebrovaskulære bivirkninger, myokardieinfarkt, transitorisk cerebral iskæmi og andre arterielle tromboemboliske bivirkninger.</w:t>
      </w:r>
    </w:p>
    <w:p w14:paraId="17B2919F" w14:textId="77777777" w:rsidR="003563EF" w:rsidRPr="001278B6" w:rsidRDefault="003563EF" w:rsidP="001278B6">
      <w:pPr>
        <w:pStyle w:val="a3"/>
        <w:widowControl/>
        <w:adjustRightInd w:val="0"/>
        <w:snapToGrid w:val="0"/>
        <w:rPr>
          <w:snapToGrid w:val="0"/>
          <w:lang w:val="da-DK"/>
        </w:rPr>
      </w:pPr>
    </w:p>
    <w:p w14:paraId="38894D6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kliniske studier var den samlede forekomst af arterielle tromboemboliske bivirkninger op til 3,8 % i </w:t>
      </w:r>
      <w:r w:rsidR="004373FD">
        <w:rPr>
          <w:snapToGrid w:val="0"/>
          <w:lang w:val="da-DK"/>
        </w:rPr>
        <w:t>bevacizumab</w:t>
      </w:r>
      <w:r w:rsidR="004B3750">
        <w:rPr>
          <w:snapToGrid w:val="0"/>
          <w:lang w:val="da-DK"/>
        </w:rPr>
        <w:noBreakHyphen/>
      </w:r>
      <w:r w:rsidRPr="001278B6">
        <w:rPr>
          <w:snapToGrid w:val="0"/>
          <w:lang w:val="da-DK"/>
        </w:rPr>
        <w:t xml:space="preserve">armen sammenlignet med op til 2,1 % i kontrolgruppen, som fik kemoterapi alene. Dødelig udgang blev rapporteret hos 0,8 % af patienterne, som fik </w:t>
      </w:r>
      <w:r w:rsidR="004373FD">
        <w:rPr>
          <w:snapToGrid w:val="0"/>
          <w:lang w:val="da-DK"/>
        </w:rPr>
        <w:t>bevacizumab</w:t>
      </w:r>
      <w:r w:rsidRPr="001278B6">
        <w:rPr>
          <w:snapToGrid w:val="0"/>
          <w:lang w:val="da-DK"/>
        </w:rPr>
        <w:t xml:space="preserve">, sammenholdt med 0,5 % hos patienter, som fik kemoterapi alene. Cerebrovaskulære tilfælde (inklusiv transitorisk iskæmisk attak) blev rapporteret hos op til 2,7 % af patienterne, som fik </w:t>
      </w:r>
      <w:r w:rsidR="004373FD">
        <w:rPr>
          <w:snapToGrid w:val="0"/>
          <w:lang w:val="da-DK"/>
        </w:rPr>
        <w:t>bevacizumab</w:t>
      </w:r>
      <w:r w:rsidRPr="001278B6">
        <w:rPr>
          <w:snapToGrid w:val="0"/>
          <w:lang w:val="da-DK"/>
        </w:rPr>
        <w:t xml:space="preserve"> i kombination med kemoterapi i forhold til op til 0,5 % af patienterne, som fik kemoterapi alene. Myokardieinfarkt blev rapporteret hos op til 1,4 % af patienterne, som fik </w:t>
      </w:r>
      <w:r w:rsidR="004373FD">
        <w:rPr>
          <w:snapToGrid w:val="0"/>
          <w:lang w:val="da-DK"/>
        </w:rPr>
        <w:t>bevacizumab</w:t>
      </w:r>
      <w:r w:rsidRPr="001278B6">
        <w:rPr>
          <w:snapToGrid w:val="0"/>
          <w:lang w:val="da-DK"/>
        </w:rPr>
        <w:t xml:space="preserve"> i kombination med kemoterapi, sammenlignet med op til 0,7 % af patienterne, som fik kemoterapi alene.</w:t>
      </w:r>
    </w:p>
    <w:p w14:paraId="066BAE62" w14:textId="77777777" w:rsidR="003563EF" w:rsidRPr="001278B6" w:rsidRDefault="003563EF" w:rsidP="001278B6">
      <w:pPr>
        <w:pStyle w:val="a3"/>
        <w:widowControl/>
        <w:adjustRightInd w:val="0"/>
        <w:snapToGrid w:val="0"/>
        <w:rPr>
          <w:snapToGrid w:val="0"/>
          <w:lang w:val="da-DK"/>
        </w:rPr>
      </w:pPr>
    </w:p>
    <w:p w14:paraId="6C0D9507"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et klinisk studie AVF2192g, som undersøgte </w:t>
      </w:r>
      <w:r w:rsidR="001C7FE7">
        <w:rPr>
          <w:snapToGrid w:val="0"/>
          <w:lang w:val="da-DK"/>
        </w:rPr>
        <w:t>bevacizumab</w:t>
      </w:r>
      <w:r w:rsidRPr="001278B6">
        <w:rPr>
          <w:snapToGrid w:val="0"/>
          <w:lang w:val="da-DK"/>
        </w:rPr>
        <w:t xml:space="preserve"> i kombination med 5</w:t>
      </w:r>
      <w:r w:rsidR="004B3750">
        <w:rPr>
          <w:snapToGrid w:val="0"/>
          <w:lang w:val="da-DK"/>
        </w:rPr>
        <w:noBreakHyphen/>
      </w:r>
      <w:r w:rsidRPr="001278B6">
        <w:rPr>
          <w:snapToGrid w:val="0"/>
          <w:lang w:val="da-DK"/>
        </w:rPr>
        <w:t>fluoruracil/folininsyre, blev der inkluderet patienter med metastatisk kolorektalkræft, som ikke var kandidater til behandling med irinotecan. I dette studie blev der observeret arterielle tromboemboliske bivirkninger hos 11</w:t>
      </w:r>
      <w:r w:rsidR="009D5DC6">
        <w:rPr>
          <w:snapToGrid w:val="0"/>
          <w:lang w:val="da-DK"/>
        </w:rPr>
        <w:t> </w:t>
      </w:r>
      <w:r w:rsidRPr="001278B6">
        <w:rPr>
          <w:snapToGrid w:val="0"/>
          <w:lang w:val="da-DK"/>
        </w:rPr>
        <w:t>% (11/100) af patienterne i forhold til 5,8 % (6/104) i kemoterapikontrolgruppen.</w:t>
      </w:r>
    </w:p>
    <w:p w14:paraId="601B2CEB" w14:textId="77777777" w:rsidR="003563EF" w:rsidRPr="001278B6" w:rsidRDefault="003563EF" w:rsidP="001278B6">
      <w:pPr>
        <w:pStyle w:val="a3"/>
        <w:widowControl/>
        <w:adjustRightInd w:val="0"/>
        <w:snapToGrid w:val="0"/>
        <w:rPr>
          <w:snapToGrid w:val="0"/>
          <w:lang w:val="da-DK"/>
        </w:rPr>
      </w:pPr>
    </w:p>
    <w:p w14:paraId="0D972B7C" w14:textId="77777777" w:rsidR="003563EF" w:rsidRPr="001278B6" w:rsidRDefault="00473235" w:rsidP="001278B6">
      <w:pPr>
        <w:pStyle w:val="a3"/>
        <w:widowControl/>
        <w:adjustRightInd w:val="0"/>
        <w:snapToGrid w:val="0"/>
        <w:rPr>
          <w:snapToGrid w:val="0"/>
          <w:lang w:val="da-DK"/>
        </w:rPr>
      </w:pPr>
      <w:r w:rsidRPr="001278B6">
        <w:rPr>
          <w:i/>
          <w:snapToGrid w:val="0"/>
          <w:lang w:val="da-DK"/>
        </w:rPr>
        <w:t xml:space="preserve">Venøs tromboemboli: </w:t>
      </w:r>
      <w:r w:rsidRPr="001278B6">
        <w:rPr>
          <w:snapToGrid w:val="0"/>
          <w:lang w:val="da-DK"/>
        </w:rPr>
        <w:t xml:space="preserve">Hyppigheden af venøse tromboemboliske bivirkninger i kliniske studier var den samme for patienter, som fik </w:t>
      </w:r>
      <w:r w:rsidR="001C7FE7">
        <w:rPr>
          <w:snapToGrid w:val="0"/>
          <w:lang w:val="da-DK"/>
        </w:rPr>
        <w:t>bevacizumab</w:t>
      </w:r>
      <w:r w:rsidRPr="001278B6">
        <w:rPr>
          <w:snapToGrid w:val="0"/>
          <w:lang w:val="da-DK"/>
        </w:rPr>
        <w:t xml:space="preserve"> i kombination med kemoterapi, sammenlignet med dem, som fik kemoterapi alene. Venøse tromboemboliske bivirkninger omfatter dyb venetrombose, lungeemboli og tromboflebitis.</w:t>
      </w:r>
    </w:p>
    <w:p w14:paraId="7B6BEE0A" w14:textId="77777777" w:rsidR="003563EF" w:rsidRPr="001278B6" w:rsidRDefault="003563EF" w:rsidP="001278B6">
      <w:pPr>
        <w:pStyle w:val="a3"/>
        <w:widowControl/>
        <w:adjustRightInd w:val="0"/>
        <w:snapToGrid w:val="0"/>
        <w:rPr>
          <w:snapToGrid w:val="0"/>
          <w:lang w:val="da-DK"/>
        </w:rPr>
      </w:pPr>
    </w:p>
    <w:p w14:paraId="7697E619" w14:textId="77777777" w:rsidR="003563EF" w:rsidRPr="001278B6" w:rsidRDefault="00473235" w:rsidP="001278B6">
      <w:pPr>
        <w:pStyle w:val="a3"/>
        <w:widowControl/>
        <w:adjustRightInd w:val="0"/>
        <w:snapToGrid w:val="0"/>
        <w:rPr>
          <w:snapToGrid w:val="0"/>
          <w:lang w:val="da-DK"/>
        </w:rPr>
      </w:pPr>
      <w:r w:rsidRPr="001278B6">
        <w:rPr>
          <w:snapToGrid w:val="0"/>
          <w:lang w:val="da-DK"/>
        </w:rPr>
        <w:t>I kliniske studier, inden for alle indikationer, var hyppigheden af venøse tromboemboliske bivirkninger 2,8</w:t>
      </w:r>
      <w:r w:rsidR="004B3750">
        <w:rPr>
          <w:snapToGrid w:val="0"/>
          <w:lang w:val="da-DK"/>
        </w:rPr>
        <w:noBreakHyphen/>
      </w:r>
      <w:r w:rsidRPr="001278B6">
        <w:rPr>
          <w:snapToGrid w:val="0"/>
          <w:lang w:val="da-DK"/>
        </w:rPr>
        <w:t xml:space="preserve">17,3 % hos de </w:t>
      </w:r>
      <w:r w:rsidR="001C7FE7">
        <w:rPr>
          <w:snapToGrid w:val="0"/>
          <w:lang w:val="da-DK"/>
        </w:rPr>
        <w:t>bevacizumab</w:t>
      </w:r>
      <w:r w:rsidRPr="001278B6">
        <w:rPr>
          <w:snapToGrid w:val="0"/>
          <w:lang w:val="da-DK"/>
        </w:rPr>
        <w:t>behandlede patienter i forhold til 3,2</w:t>
      </w:r>
      <w:r w:rsidR="004B3750">
        <w:rPr>
          <w:snapToGrid w:val="0"/>
          <w:lang w:val="da-DK"/>
        </w:rPr>
        <w:noBreakHyphen/>
      </w:r>
      <w:r w:rsidRPr="001278B6">
        <w:rPr>
          <w:snapToGrid w:val="0"/>
          <w:lang w:val="da-DK"/>
        </w:rPr>
        <w:t>15,6 % i kontrolgrupperne.</w:t>
      </w:r>
    </w:p>
    <w:p w14:paraId="3C633FA6" w14:textId="77777777" w:rsidR="003563EF" w:rsidRPr="001278B6" w:rsidRDefault="003563EF" w:rsidP="001278B6">
      <w:pPr>
        <w:pStyle w:val="a3"/>
        <w:widowControl/>
        <w:adjustRightInd w:val="0"/>
        <w:snapToGrid w:val="0"/>
        <w:rPr>
          <w:snapToGrid w:val="0"/>
          <w:lang w:val="da-DK"/>
        </w:rPr>
      </w:pPr>
    </w:p>
    <w:p w14:paraId="468D92CE" w14:textId="77777777" w:rsidR="003563EF" w:rsidRPr="001278B6" w:rsidRDefault="00473235" w:rsidP="001278B6">
      <w:pPr>
        <w:pStyle w:val="a3"/>
        <w:widowControl/>
        <w:adjustRightInd w:val="0"/>
        <w:snapToGrid w:val="0"/>
        <w:rPr>
          <w:snapToGrid w:val="0"/>
          <w:lang w:val="da-DK"/>
        </w:rPr>
      </w:pPr>
      <w:r w:rsidRPr="001278B6">
        <w:rPr>
          <w:snapToGrid w:val="0"/>
          <w:lang w:val="da-DK"/>
        </w:rPr>
        <w:t>Venøse tromboemboliske bivirkninger af grad 3</w:t>
      </w:r>
      <w:r w:rsidR="004B3750">
        <w:rPr>
          <w:snapToGrid w:val="0"/>
          <w:lang w:val="da-DK"/>
        </w:rPr>
        <w:noBreakHyphen/>
      </w:r>
      <w:r w:rsidRPr="001278B6">
        <w:rPr>
          <w:snapToGrid w:val="0"/>
          <w:lang w:val="da-DK"/>
        </w:rPr>
        <w:t>5 (NCI</w:t>
      </w:r>
      <w:r w:rsidR="004B3750">
        <w:rPr>
          <w:snapToGrid w:val="0"/>
          <w:lang w:val="da-DK"/>
        </w:rPr>
        <w:noBreakHyphen/>
      </w:r>
      <w:r w:rsidRPr="001278B6">
        <w:rPr>
          <w:snapToGrid w:val="0"/>
          <w:lang w:val="da-DK"/>
        </w:rPr>
        <w:t>CTCAE v. 3) sås hos op mod 7,8 % af patienter, behandlet med kemoterapi plus bevacizumab i forhold til op mod 4,9 % af patienter, som fik kemoterapi alene (på tværs af indikationer eksklusive persisterende, recidiverende eller metastatisk cervixcancer).</w:t>
      </w:r>
    </w:p>
    <w:p w14:paraId="4045B7F6" w14:textId="77777777" w:rsidR="003563EF" w:rsidRPr="001278B6" w:rsidRDefault="003563EF" w:rsidP="001278B6">
      <w:pPr>
        <w:pStyle w:val="a3"/>
        <w:widowControl/>
        <w:adjustRightInd w:val="0"/>
        <w:snapToGrid w:val="0"/>
        <w:rPr>
          <w:snapToGrid w:val="0"/>
          <w:lang w:val="da-DK"/>
        </w:rPr>
      </w:pPr>
    </w:p>
    <w:p w14:paraId="4DAF2B03"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klinisk studie hos patienter med persisterende, recidiverende eller metastatisk cervixcancer (studie GOG</w:t>
      </w:r>
      <w:r w:rsidR="004B3750">
        <w:rPr>
          <w:snapToGrid w:val="0"/>
          <w:lang w:val="da-DK"/>
        </w:rPr>
        <w:noBreakHyphen/>
      </w:r>
      <w:r w:rsidRPr="001278B6">
        <w:rPr>
          <w:snapToGrid w:val="0"/>
          <w:lang w:val="da-DK"/>
        </w:rPr>
        <w:t>0240) blev venøs tromboemboli af grad 3</w:t>
      </w:r>
      <w:r w:rsidR="004B3750">
        <w:rPr>
          <w:snapToGrid w:val="0"/>
          <w:lang w:val="da-DK"/>
        </w:rPr>
        <w:noBreakHyphen/>
      </w:r>
      <w:r w:rsidRPr="001278B6">
        <w:rPr>
          <w:snapToGrid w:val="0"/>
          <w:lang w:val="da-DK"/>
        </w:rPr>
        <w:t xml:space="preserve">5 rapporteret hos op til 15,6 % af patienterne, som blev behandlet med </w:t>
      </w:r>
      <w:r w:rsidR="001C7FE7">
        <w:rPr>
          <w:snapToGrid w:val="0"/>
          <w:lang w:val="da-DK"/>
        </w:rPr>
        <w:t>bevacizumab</w:t>
      </w:r>
      <w:r w:rsidRPr="001278B6">
        <w:rPr>
          <w:snapToGrid w:val="0"/>
          <w:lang w:val="da-DK"/>
        </w:rPr>
        <w:t xml:space="preserve"> i kombination med paclitaxel og cisplatin, sammenlignet med hos op til 7,0</w:t>
      </w:r>
      <w:r w:rsidR="00570BFE">
        <w:rPr>
          <w:snapToGrid w:val="0"/>
          <w:lang w:val="da-DK"/>
        </w:rPr>
        <w:t> </w:t>
      </w:r>
      <w:r w:rsidRPr="001278B6">
        <w:rPr>
          <w:snapToGrid w:val="0"/>
          <w:lang w:val="da-DK"/>
        </w:rPr>
        <w:t>% af patienterne, som blev behandlet med paclitaxel og cisplatin.</w:t>
      </w:r>
    </w:p>
    <w:p w14:paraId="5411F957" w14:textId="77777777" w:rsidR="003563EF" w:rsidRPr="001278B6" w:rsidRDefault="003563EF" w:rsidP="001278B6">
      <w:pPr>
        <w:pStyle w:val="a3"/>
        <w:widowControl/>
        <w:adjustRightInd w:val="0"/>
        <w:snapToGrid w:val="0"/>
        <w:rPr>
          <w:snapToGrid w:val="0"/>
          <w:lang w:val="da-DK"/>
        </w:rPr>
      </w:pPr>
    </w:p>
    <w:p w14:paraId="509763FC" w14:textId="77777777"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 xml:space="preserve">Patienter, som tidligere har oplevet en venøs tromboembolisk bivirkninger, kan have en højere risiko for fornyet hændelse, hvis de får </w:t>
      </w:r>
      <w:r w:rsidR="001C7FE7">
        <w:rPr>
          <w:snapToGrid w:val="0"/>
          <w:lang w:val="da-DK"/>
        </w:rPr>
        <w:t>bevacizumab</w:t>
      </w:r>
      <w:r w:rsidRPr="001278B6">
        <w:rPr>
          <w:snapToGrid w:val="0"/>
          <w:lang w:val="da-DK"/>
        </w:rPr>
        <w:t xml:space="preserve"> i kombination med kemoterapi, end hvis de får kemoterapi alene.</w:t>
      </w:r>
    </w:p>
    <w:p w14:paraId="5AE38B2B" w14:textId="77777777" w:rsidR="003563EF" w:rsidRPr="001278B6" w:rsidRDefault="003563EF" w:rsidP="001278B6">
      <w:pPr>
        <w:pStyle w:val="a3"/>
        <w:widowControl/>
        <w:adjustRightInd w:val="0"/>
        <w:snapToGrid w:val="0"/>
        <w:rPr>
          <w:snapToGrid w:val="0"/>
          <w:lang w:val="da-DK"/>
        </w:rPr>
      </w:pPr>
    </w:p>
    <w:p w14:paraId="665EDB8B"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Kongestiv hjerteinsufficiens (CHF)</w:t>
      </w:r>
    </w:p>
    <w:p w14:paraId="6019450D" w14:textId="339042AC" w:rsidR="003563EF" w:rsidRPr="001278B6" w:rsidRDefault="00473235" w:rsidP="001278B6">
      <w:pPr>
        <w:pStyle w:val="a3"/>
        <w:widowControl/>
        <w:adjustRightInd w:val="0"/>
        <w:snapToGrid w:val="0"/>
        <w:rPr>
          <w:snapToGrid w:val="0"/>
          <w:lang w:val="da-DK"/>
        </w:rPr>
      </w:pPr>
      <w:r w:rsidRPr="001278B6">
        <w:rPr>
          <w:snapToGrid w:val="0"/>
          <w:lang w:val="da-DK"/>
        </w:rPr>
        <w:t xml:space="preserve">I kliniske studier med </w:t>
      </w:r>
      <w:r w:rsidR="001C7FE7">
        <w:rPr>
          <w:snapToGrid w:val="0"/>
          <w:lang w:val="da-DK"/>
        </w:rPr>
        <w:t>bevacizumab</w:t>
      </w:r>
      <w:r w:rsidRPr="001278B6">
        <w:rPr>
          <w:snapToGrid w:val="0"/>
          <w:lang w:val="da-DK"/>
        </w:rPr>
        <w:t xml:space="preserve"> blev CHF observeret ved alle de kræftindikationer, som er undersøgt indtil videre, men forekom primært hos patienter med metastatisk brystkræft. I fire fase III</w:t>
      </w:r>
      <w:r w:rsidR="004B3750">
        <w:rPr>
          <w:snapToGrid w:val="0"/>
          <w:lang w:val="da-DK"/>
        </w:rPr>
        <w:noBreakHyphen/>
      </w:r>
      <w:r w:rsidRPr="001278B6">
        <w:rPr>
          <w:snapToGrid w:val="0"/>
          <w:lang w:val="da-DK"/>
        </w:rPr>
        <w:t>studier (AVF2119g, E2100, BO17708 og AVF3694g) hos patienter med metastatisk brystkræft blev der observeret CHF af grad 3 (NCI</w:t>
      </w:r>
      <w:r w:rsidR="004B3750">
        <w:rPr>
          <w:snapToGrid w:val="0"/>
          <w:lang w:val="da-DK"/>
        </w:rPr>
        <w:noBreakHyphen/>
      </w:r>
      <w:r w:rsidRPr="001278B6">
        <w:rPr>
          <w:snapToGrid w:val="0"/>
          <w:lang w:val="da-DK"/>
        </w:rPr>
        <w:t>CTCAE v. 3) eller højere hos op til 3,5</w:t>
      </w:r>
      <w:r w:rsidR="00AB3EA6">
        <w:rPr>
          <w:snapToGrid w:val="0"/>
          <w:lang w:val="da-DK"/>
        </w:rPr>
        <w:t> </w:t>
      </w:r>
      <w:r w:rsidRPr="001278B6">
        <w:rPr>
          <w:snapToGrid w:val="0"/>
          <w:lang w:val="da-DK"/>
        </w:rPr>
        <w:t xml:space="preserve">% af de patienter, som blev behandlet med </w:t>
      </w:r>
      <w:r w:rsidR="001C7FE7">
        <w:rPr>
          <w:snapToGrid w:val="0"/>
          <w:lang w:val="da-DK"/>
        </w:rPr>
        <w:t>bevacizumab</w:t>
      </w:r>
      <w:r w:rsidRPr="001278B6">
        <w:rPr>
          <w:snapToGrid w:val="0"/>
          <w:lang w:val="da-DK"/>
        </w:rPr>
        <w:t xml:space="preserve"> i kombination med kemoterapi, sammenlignet med hos op til 0,9 % i kontrolarmene. Hos patienter i studie AVF3694g, som fik antracykliner samtidig med bevacizumab, svarede hyppigheden af CHF af grad 3 eller højere i de respektive bevacizumab</w:t>
      </w:r>
      <w:r w:rsidR="004B3750">
        <w:rPr>
          <w:snapToGrid w:val="0"/>
          <w:lang w:val="da-DK"/>
        </w:rPr>
        <w:noBreakHyphen/>
      </w:r>
      <w:r w:rsidRPr="001278B6">
        <w:rPr>
          <w:snapToGrid w:val="0"/>
          <w:lang w:val="da-DK"/>
        </w:rPr>
        <w:t xml:space="preserve"> og kontrolarme til de hyppigheder, som er set i andre studier af metastatisk brystkræft: 2,9 % i antracyklin + bevacizumab</w:t>
      </w:r>
      <w:r w:rsidR="004B3750">
        <w:rPr>
          <w:snapToGrid w:val="0"/>
          <w:lang w:val="da-DK"/>
        </w:rPr>
        <w:noBreakHyphen/>
      </w:r>
      <w:r w:rsidRPr="001278B6">
        <w:rPr>
          <w:snapToGrid w:val="0"/>
          <w:lang w:val="da-DK"/>
        </w:rPr>
        <w:t>armen og 0 % i antracyklin + placebo</w:t>
      </w:r>
      <w:r w:rsidR="004B3750">
        <w:rPr>
          <w:snapToGrid w:val="0"/>
          <w:lang w:val="da-DK"/>
        </w:rPr>
        <w:noBreakHyphen/>
      </w:r>
      <w:r w:rsidRPr="001278B6">
        <w:rPr>
          <w:snapToGrid w:val="0"/>
          <w:lang w:val="da-DK"/>
        </w:rPr>
        <w:t xml:space="preserve">armen. I studie AVF3694g var hyppigheden af CHF (alle grader) i antracyklin + </w:t>
      </w:r>
      <w:r w:rsidR="001C7FE7">
        <w:rPr>
          <w:snapToGrid w:val="0"/>
          <w:lang w:val="da-DK"/>
        </w:rPr>
        <w:t>bevacizumab</w:t>
      </w:r>
      <w:r w:rsidR="004B3750">
        <w:rPr>
          <w:snapToGrid w:val="0"/>
          <w:lang w:val="da-DK"/>
        </w:rPr>
        <w:noBreakHyphen/>
      </w:r>
      <w:r w:rsidRPr="001278B6">
        <w:rPr>
          <w:snapToGrid w:val="0"/>
          <w:lang w:val="da-DK"/>
        </w:rPr>
        <w:t>armen (6,2 %) endvidere sammenlignelig med hyppigheden i antracyklin + placebo</w:t>
      </w:r>
      <w:r w:rsidR="004B3750">
        <w:rPr>
          <w:snapToGrid w:val="0"/>
          <w:lang w:val="da-DK"/>
        </w:rPr>
        <w:noBreakHyphen/>
      </w:r>
      <w:r w:rsidRPr="001278B6">
        <w:rPr>
          <w:snapToGrid w:val="0"/>
          <w:lang w:val="da-DK"/>
        </w:rPr>
        <w:t>armen (6,0 %).</w:t>
      </w:r>
    </w:p>
    <w:p w14:paraId="447AF098" w14:textId="77777777" w:rsidR="0079124A" w:rsidRPr="001278B6" w:rsidRDefault="0079124A" w:rsidP="001278B6">
      <w:pPr>
        <w:widowControl/>
        <w:adjustRightInd w:val="0"/>
        <w:snapToGrid w:val="0"/>
        <w:rPr>
          <w:snapToGrid w:val="0"/>
          <w:lang w:val="da-DK"/>
        </w:rPr>
      </w:pPr>
    </w:p>
    <w:p w14:paraId="3B6CCE23" w14:textId="77777777" w:rsidR="003563EF" w:rsidRPr="001278B6" w:rsidRDefault="00473235" w:rsidP="001278B6">
      <w:pPr>
        <w:pStyle w:val="a3"/>
        <w:widowControl/>
        <w:adjustRightInd w:val="0"/>
        <w:snapToGrid w:val="0"/>
        <w:rPr>
          <w:snapToGrid w:val="0"/>
          <w:lang w:val="da-DK"/>
        </w:rPr>
      </w:pPr>
      <w:r w:rsidRPr="001278B6">
        <w:rPr>
          <w:snapToGrid w:val="0"/>
          <w:lang w:val="da-DK"/>
        </w:rPr>
        <w:t>De fleste patienter, som udviklede CHF under studier af metastatisk brystkræft, udviste symptombedring og/eller forbedring af venstre ventrikels funktion efter passende medicinsk behandling.</w:t>
      </w:r>
    </w:p>
    <w:p w14:paraId="582CE32A" w14:textId="77777777" w:rsidR="003563EF" w:rsidRPr="001278B6" w:rsidRDefault="003563EF" w:rsidP="001278B6">
      <w:pPr>
        <w:pStyle w:val="a3"/>
        <w:widowControl/>
        <w:adjustRightInd w:val="0"/>
        <w:snapToGrid w:val="0"/>
        <w:rPr>
          <w:snapToGrid w:val="0"/>
          <w:lang w:val="da-DK"/>
        </w:rPr>
      </w:pPr>
    </w:p>
    <w:p w14:paraId="4D13A2E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de fleste af de kliniske studier med </w:t>
      </w:r>
      <w:r w:rsidR="001C7FE7">
        <w:rPr>
          <w:snapToGrid w:val="0"/>
          <w:lang w:val="da-DK"/>
        </w:rPr>
        <w:t>bevacizumab</w:t>
      </w:r>
      <w:r w:rsidRPr="001278B6">
        <w:rPr>
          <w:snapToGrid w:val="0"/>
          <w:lang w:val="da-DK"/>
        </w:rPr>
        <w:t xml:space="preserve"> blev patienter med præ</w:t>
      </w:r>
      <w:r w:rsidR="004B3750">
        <w:rPr>
          <w:snapToGrid w:val="0"/>
          <w:lang w:val="da-DK"/>
        </w:rPr>
        <w:noBreakHyphen/>
      </w:r>
      <w:r w:rsidRPr="001278B6">
        <w:rPr>
          <w:snapToGrid w:val="0"/>
          <w:lang w:val="da-DK"/>
        </w:rPr>
        <w:t>eksisterende CHF af NYHA (New York Heart Association) klasse II</w:t>
      </w:r>
      <w:r w:rsidR="004B3750">
        <w:rPr>
          <w:snapToGrid w:val="0"/>
          <w:lang w:val="da-DK"/>
        </w:rPr>
        <w:noBreakHyphen/>
      </w:r>
      <w:r w:rsidRPr="001278B6">
        <w:rPr>
          <w:snapToGrid w:val="0"/>
          <w:lang w:val="da-DK"/>
        </w:rPr>
        <w:t>IV ekskluderet, og derfor findes der ingen data for risikoen for CHF i denne population.</w:t>
      </w:r>
    </w:p>
    <w:p w14:paraId="055DD0FD" w14:textId="77777777" w:rsidR="003563EF" w:rsidRPr="001278B6" w:rsidRDefault="003563EF" w:rsidP="001278B6">
      <w:pPr>
        <w:pStyle w:val="a3"/>
        <w:widowControl/>
        <w:adjustRightInd w:val="0"/>
        <w:snapToGrid w:val="0"/>
        <w:rPr>
          <w:snapToGrid w:val="0"/>
          <w:lang w:val="da-DK"/>
        </w:rPr>
      </w:pPr>
    </w:p>
    <w:p w14:paraId="7B27358D" w14:textId="77777777" w:rsidR="003563EF" w:rsidRPr="001278B6" w:rsidRDefault="00473235" w:rsidP="001278B6">
      <w:pPr>
        <w:pStyle w:val="a3"/>
        <w:widowControl/>
        <w:adjustRightInd w:val="0"/>
        <w:snapToGrid w:val="0"/>
        <w:rPr>
          <w:snapToGrid w:val="0"/>
          <w:lang w:val="da-DK"/>
        </w:rPr>
      </w:pPr>
      <w:r w:rsidRPr="001278B6">
        <w:rPr>
          <w:snapToGrid w:val="0"/>
          <w:lang w:val="da-DK"/>
        </w:rPr>
        <w:t>Tidligere eksponering for antracykliner og/eller strålebehandling af brystvæggen kan være mulige risikofaktorer for udvikling af CHF.</w:t>
      </w:r>
    </w:p>
    <w:p w14:paraId="2A3E528B" w14:textId="77777777" w:rsidR="003563EF" w:rsidRPr="001278B6" w:rsidRDefault="003563EF" w:rsidP="001278B6">
      <w:pPr>
        <w:pStyle w:val="a3"/>
        <w:widowControl/>
        <w:adjustRightInd w:val="0"/>
        <w:snapToGrid w:val="0"/>
        <w:rPr>
          <w:snapToGrid w:val="0"/>
          <w:lang w:val="da-DK"/>
        </w:rPr>
      </w:pPr>
    </w:p>
    <w:p w14:paraId="33F15CC3"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klinisk studie er der blevet set en øget hyppighed af CHF hos patienter med diffust storcellet B</w:t>
      </w:r>
      <w:r w:rsidR="004B3750">
        <w:rPr>
          <w:snapToGrid w:val="0"/>
          <w:lang w:val="da-DK"/>
        </w:rPr>
        <w:noBreakHyphen/>
      </w:r>
      <w:r w:rsidRPr="001278B6">
        <w:rPr>
          <w:snapToGrid w:val="0"/>
          <w:lang w:val="da-DK"/>
        </w:rPr>
        <w:t>celle lymfom, der fik bevacizumab sammen med en kumulativ doxorubicindosis, som var større end 300</w:t>
      </w:r>
      <w:r w:rsidR="009D5DC6">
        <w:rPr>
          <w:snapToGrid w:val="0"/>
          <w:lang w:val="da-DK"/>
        </w:rPr>
        <w:t> </w:t>
      </w:r>
      <w:r w:rsidRPr="001278B6">
        <w:rPr>
          <w:snapToGrid w:val="0"/>
          <w:lang w:val="da-DK"/>
        </w:rPr>
        <w:t>mg/m</w:t>
      </w:r>
      <w:r w:rsidRPr="001278B6">
        <w:rPr>
          <w:snapToGrid w:val="0"/>
          <w:vertAlign w:val="superscript"/>
          <w:lang w:val="da-DK"/>
        </w:rPr>
        <w:t>2</w:t>
      </w:r>
      <w:r w:rsidRPr="001278B6">
        <w:rPr>
          <w:snapToGrid w:val="0"/>
          <w:lang w:val="da-DK"/>
        </w:rPr>
        <w:t>. Dette kliniske fase III</w:t>
      </w:r>
      <w:r w:rsidR="004B3750">
        <w:rPr>
          <w:snapToGrid w:val="0"/>
          <w:lang w:val="da-DK"/>
        </w:rPr>
        <w:noBreakHyphen/>
      </w:r>
      <w:r w:rsidRPr="001278B6">
        <w:rPr>
          <w:snapToGrid w:val="0"/>
          <w:lang w:val="da-DK"/>
        </w:rPr>
        <w:t>studie sammenlignede rituximab/cyclophosphamid/doxorubicin/vincristin/prednison (R</w:t>
      </w:r>
      <w:r w:rsidR="004B3750">
        <w:rPr>
          <w:snapToGrid w:val="0"/>
          <w:lang w:val="da-DK"/>
        </w:rPr>
        <w:noBreakHyphen/>
      </w:r>
      <w:r w:rsidRPr="001278B6">
        <w:rPr>
          <w:snapToGrid w:val="0"/>
          <w:lang w:val="da-DK"/>
        </w:rPr>
        <w:t>CHOP) plus bevacizumab med R</w:t>
      </w:r>
      <w:r w:rsidR="004B3750">
        <w:rPr>
          <w:snapToGrid w:val="0"/>
          <w:lang w:val="da-DK"/>
        </w:rPr>
        <w:noBreakHyphen/>
      </w:r>
      <w:r w:rsidRPr="001278B6">
        <w:rPr>
          <w:snapToGrid w:val="0"/>
          <w:lang w:val="da-DK"/>
        </w:rPr>
        <w:t>CHOP uden bevacizumab. Hyppigheden af CHF var højere end det, som tidligere er observeret for doxorubicinbehandling, i begge arme, og hyppigheden var højst i R</w:t>
      </w:r>
      <w:r w:rsidR="004B3750">
        <w:rPr>
          <w:snapToGrid w:val="0"/>
          <w:lang w:val="da-DK"/>
        </w:rPr>
        <w:noBreakHyphen/>
      </w:r>
      <w:r w:rsidRPr="001278B6">
        <w:rPr>
          <w:snapToGrid w:val="0"/>
          <w:lang w:val="da-DK"/>
        </w:rPr>
        <w:t>CHOP plus bevacizumab</w:t>
      </w:r>
      <w:r w:rsidR="004B3750">
        <w:rPr>
          <w:snapToGrid w:val="0"/>
          <w:lang w:val="da-DK"/>
        </w:rPr>
        <w:noBreakHyphen/>
      </w:r>
      <w:r w:rsidRPr="001278B6">
        <w:rPr>
          <w:snapToGrid w:val="0"/>
          <w:lang w:val="da-DK"/>
        </w:rPr>
        <w:t>armen. Disse resultater antyder, at tæt observation med passende kardielle vurderinger bør overvejes ved bevacizumab</w:t>
      </w:r>
      <w:r w:rsidR="004B3750">
        <w:rPr>
          <w:snapToGrid w:val="0"/>
          <w:lang w:val="da-DK"/>
        </w:rPr>
        <w:noBreakHyphen/>
      </w:r>
      <w:r w:rsidRPr="001278B6">
        <w:rPr>
          <w:snapToGrid w:val="0"/>
          <w:lang w:val="da-DK"/>
        </w:rPr>
        <w:t>behandling hos patienter, som har fået kumulative doxorubicindoser større end</w:t>
      </w:r>
      <w:r w:rsidR="00F42A40">
        <w:rPr>
          <w:snapToGrid w:val="0"/>
          <w:lang w:val="da-DK"/>
        </w:rPr>
        <w:t xml:space="preserve"> </w:t>
      </w:r>
      <w:r w:rsidRPr="001278B6">
        <w:rPr>
          <w:snapToGrid w:val="0"/>
          <w:lang w:val="da-DK"/>
        </w:rPr>
        <w:t>300</w:t>
      </w:r>
      <w:r w:rsidR="00F42A40">
        <w:rPr>
          <w:snapToGrid w:val="0"/>
          <w:lang w:val="da-DK"/>
        </w:rPr>
        <w:t> </w:t>
      </w:r>
      <w:r w:rsidRPr="001278B6">
        <w:rPr>
          <w:snapToGrid w:val="0"/>
          <w:lang w:val="da-DK"/>
        </w:rPr>
        <w:t>mg/m</w:t>
      </w:r>
      <w:r w:rsidRPr="001278B6">
        <w:rPr>
          <w:snapToGrid w:val="0"/>
          <w:vertAlign w:val="superscript"/>
          <w:lang w:val="da-DK"/>
        </w:rPr>
        <w:t>2</w:t>
      </w:r>
      <w:r w:rsidRPr="001278B6">
        <w:rPr>
          <w:snapToGrid w:val="0"/>
          <w:lang w:val="da-DK"/>
        </w:rPr>
        <w:t>.</w:t>
      </w:r>
    </w:p>
    <w:p w14:paraId="4D807C81" w14:textId="77777777" w:rsidR="003563EF" w:rsidRPr="001278B6" w:rsidRDefault="003563EF" w:rsidP="001278B6">
      <w:pPr>
        <w:pStyle w:val="a3"/>
        <w:widowControl/>
        <w:adjustRightInd w:val="0"/>
        <w:snapToGrid w:val="0"/>
        <w:rPr>
          <w:snapToGrid w:val="0"/>
          <w:lang w:val="da-DK"/>
        </w:rPr>
      </w:pPr>
    </w:p>
    <w:p w14:paraId="55354EA2" w14:textId="3DCA8BDE"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Overfølsomhedsreaktioner</w:t>
      </w:r>
      <w:r w:rsidR="00667130" w:rsidRPr="00667130">
        <w:t xml:space="preserve"> </w:t>
      </w:r>
      <w:r w:rsidR="00667130" w:rsidRPr="00667130">
        <w:rPr>
          <w:i/>
          <w:snapToGrid w:val="0"/>
          <w:u w:val="single"/>
          <w:lang w:val="da-DK"/>
        </w:rPr>
        <w:t>(inklusive anafylaktisk shock)</w:t>
      </w:r>
      <w:r w:rsidRPr="00F466A3">
        <w:rPr>
          <w:i/>
          <w:snapToGrid w:val="0"/>
          <w:u w:val="single"/>
          <w:lang w:val="da-DK"/>
        </w:rPr>
        <w:t>/infusionsreaktioner</w:t>
      </w:r>
      <w:r w:rsidRPr="001278B6">
        <w:rPr>
          <w:i/>
          <w:snapToGrid w:val="0"/>
          <w:lang w:val="da-DK"/>
        </w:rPr>
        <w:t xml:space="preserve"> </w:t>
      </w:r>
      <w:r w:rsidRPr="001278B6">
        <w:rPr>
          <w:snapToGrid w:val="0"/>
          <w:lang w:val="da-DK"/>
        </w:rPr>
        <w:t xml:space="preserve">(se pkt. 4.4 og </w:t>
      </w:r>
      <w:r w:rsidRPr="001278B6">
        <w:rPr>
          <w:i/>
          <w:snapToGrid w:val="0"/>
          <w:lang w:val="da-DK"/>
        </w:rPr>
        <w:t>Post</w:t>
      </w:r>
      <w:r w:rsidR="004B3750">
        <w:rPr>
          <w:i/>
          <w:snapToGrid w:val="0"/>
          <w:lang w:val="da-DK"/>
        </w:rPr>
        <w:noBreakHyphen/>
      </w:r>
      <w:r w:rsidRPr="001278B6">
        <w:rPr>
          <w:i/>
          <w:snapToGrid w:val="0"/>
          <w:lang w:val="da-DK"/>
        </w:rPr>
        <w:t xml:space="preserve">marketing erfaring </w:t>
      </w:r>
      <w:r w:rsidRPr="00CC5052">
        <w:rPr>
          <w:i/>
          <w:iCs/>
          <w:snapToGrid w:val="0"/>
          <w:lang w:val="da-DK"/>
        </w:rPr>
        <w:t>nedenfor</w:t>
      </w:r>
      <w:r w:rsidRPr="001278B6">
        <w:rPr>
          <w:snapToGrid w:val="0"/>
          <w:lang w:val="da-DK"/>
        </w:rPr>
        <w:t>)</w:t>
      </w:r>
    </w:p>
    <w:p w14:paraId="79167AA9"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nogle kliniske studier har anafylaktiske og anafylaktoide reaktioner været rapporteret oftere hos patienter, som blev behandlet med </w:t>
      </w:r>
      <w:r w:rsidR="001C7FE7">
        <w:rPr>
          <w:snapToGrid w:val="0"/>
          <w:lang w:val="da-DK"/>
        </w:rPr>
        <w:t>bevacizumab</w:t>
      </w:r>
      <w:r w:rsidRPr="001278B6">
        <w:rPr>
          <w:snapToGrid w:val="0"/>
          <w:lang w:val="da-DK"/>
        </w:rPr>
        <w:t xml:space="preserve"> i kombination med kemoterapi end med kemoterapi alene. I nogle kliniske studier med </w:t>
      </w:r>
      <w:r w:rsidR="001C7FE7">
        <w:rPr>
          <w:snapToGrid w:val="0"/>
          <w:lang w:val="da-DK"/>
        </w:rPr>
        <w:t>bevacizumab</w:t>
      </w:r>
      <w:r w:rsidRPr="001278B6">
        <w:rPr>
          <w:snapToGrid w:val="0"/>
          <w:lang w:val="da-DK"/>
        </w:rPr>
        <w:t xml:space="preserve"> er forekomsten af disse reaktioner almindelig (op til 5 % af bevacizumabbehandlede patienter).</w:t>
      </w:r>
    </w:p>
    <w:p w14:paraId="6E6C8F1E" w14:textId="77777777" w:rsidR="003563EF" w:rsidRPr="001278B6" w:rsidRDefault="003563EF" w:rsidP="001278B6">
      <w:pPr>
        <w:pStyle w:val="a3"/>
        <w:widowControl/>
        <w:adjustRightInd w:val="0"/>
        <w:snapToGrid w:val="0"/>
        <w:rPr>
          <w:snapToGrid w:val="0"/>
          <w:lang w:val="da-DK"/>
        </w:rPr>
      </w:pPr>
    </w:p>
    <w:p w14:paraId="55BB5720"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Infektioner</w:t>
      </w:r>
    </w:p>
    <w:p w14:paraId="0F0A4FC1"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klinisk studie hos patienter med persisterende, recidiverende eller metastatisk cervixcancer (studie GOG</w:t>
      </w:r>
      <w:r w:rsidR="004B3750">
        <w:rPr>
          <w:snapToGrid w:val="0"/>
          <w:lang w:val="da-DK"/>
        </w:rPr>
        <w:noBreakHyphen/>
      </w:r>
      <w:r w:rsidRPr="001278B6">
        <w:rPr>
          <w:snapToGrid w:val="0"/>
          <w:lang w:val="da-DK"/>
        </w:rPr>
        <w:t>0240) blev infektioner af grad 3</w:t>
      </w:r>
      <w:r w:rsidR="004B3750">
        <w:rPr>
          <w:snapToGrid w:val="0"/>
          <w:lang w:val="da-DK"/>
        </w:rPr>
        <w:noBreakHyphen/>
      </w:r>
      <w:r w:rsidRPr="001278B6">
        <w:rPr>
          <w:snapToGrid w:val="0"/>
          <w:lang w:val="da-DK"/>
        </w:rPr>
        <w:t xml:space="preserve">5 rapporteret hos op til 24 % af patienterne, behandlet med </w:t>
      </w:r>
      <w:r w:rsidR="001C7FE7">
        <w:rPr>
          <w:snapToGrid w:val="0"/>
          <w:lang w:val="da-DK"/>
        </w:rPr>
        <w:t>bevacizumab</w:t>
      </w:r>
      <w:r w:rsidRPr="001278B6">
        <w:rPr>
          <w:snapToGrid w:val="0"/>
          <w:lang w:val="da-DK"/>
        </w:rPr>
        <w:t xml:space="preserve"> i kombination med paclitaxel og topotecan, sammenlignet med hos op til 13 % af patienterne, behandlet med paclitaxel og topotecan.</w:t>
      </w:r>
    </w:p>
    <w:p w14:paraId="19A24C86" w14:textId="77777777" w:rsidR="003563EF" w:rsidRPr="001278B6" w:rsidRDefault="003563EF" w:rsidP="001278B6">
      <w:pPr>
        <w:pStyle w:val="a3"/>
        <w:widowControl/>
        <w:adjustRightInd w:val="0"/>
        <w:snapToGrid w:val="0"/>
        <w:rPr>
          <w:snapToGrid w:val="0"/>
          <w:lang w:val="da-DK"/>
        </w:rPr>
      </w:pPr>
    </w:p>
    <w:p w14:paraId="025E6702" w14:textId="77777777" w:rsidR="003563EF" w:rsidRPr="001278B6" w:rsidRDefault="00473235" w:rsidP="001278B6">
      <w:pPr>
        <w:keepNext/>
        <w:keepLines/>
        <w:widowControl/>
        <w:adjustRightInd w:val="0"/>
        <w:snapToGrid w:val="0"/>
        <w:rPr>
          <w:snapToGrid w:val="0"/>
          <w:lang w:val="da-DK"/>
        </w:rPr>
      </w:pPr>
      <w:r w:rsidRPr="00F466A3">
        <w:rPr>
          <w:i/>
          <w:snapToGrid w:val="0"/>
          <w:u w:val="single"/>
          <w:lang w:val="da-DK"/>
        </w:rPr>
        <w:t>Ovariesvigt/fertilitet</w:t>
      </w:r>
      <w:r w:rsidRPr="001278B6">
        <w:rPr>
          <w:i/>
          <w:snapToGrid w:val="0"/>
          <w:lang w:val="da-DK"/>
        </w:rPr>
        <w:t xml:space="preserve"> </w:t>
      </w:r>
      <w:r w:rsidRPr="001278B6">
        <w:rPr>
          <w:snapToGrid w:val="0"/>
          <w:lang w:val="da-DK"/>
        </w:rPr>
        <w:t>(se pkt. 4.4 og 4.6)</w:t>
      </w:r>
    </w:p>
    <w:p w14:paraId="7AA25F49" w14:textId="77777777" w:rsidR="003563EF" w:rsidRPr="001278B6" w:rsidRDefault="00473235" w:rsidP="001278B6">
      <w:pPr>
        <w:pStyle w:val="a3"/>
        <w:widowControl/>
        <w:adjustRightInd w:val="0"/>
        <w:snapToGrid w:val="0"/>
        <w:rPr>
          <w:snapToGrid w:val="0"/>
          <w:lang w:val="da-DK"/>
        </w:rPr>
      </w:pPr>
      <w:r w:rsidRPr="001278B6">
        <w:rPr>
          <w:snapToGrid w:val="0"/>
          <w:lang w:val="da-DK"/>
        </w:rPr>
        <w:t>I NSABP C</w:t>
      </w:r>
      <w:r w:rsidR="004B3750">
        <w:rPr>
          <w:snapToGrid w:val="0"/>
          <w:lang w:val="da-DK"/>
        </w:rPr>
        <w:noBreakHyphen/>
      </w:r>
      <w:r w:rsidRPr="001278B6">
        <w:rPr>
          <w:snapToGrid w:val="0"/>
          <w:lang w:val="da-DK"/>
        </w:rPr>
        <w:t>08, et fase III</w:t>
      </w:r>
      <w:r w:rsidR="004B3750">
        <w:rPr>
          <w:snapToGrid w:val="0"/>
          <w:lang w:val="da-DK"/>
        </w:rPr>
        <w:noBreakHyphen/>
      </w:r>
      <w:r w:rsidRPr="001278B6">
        <w:rPr>
          <w:snapToGrid w:val="0"/>
          <w:lang w:val="da-DK"/>
        </w:rPr>
        <w:t xml:space="preserve">studie af </w:t>
      </w:r>
      <w:r w:rsidR="001C7FE7">
        <w:rPr>
          <w:snapToGrid w:val="0"/>
          <w:lang w:val="da-DK"/>
        </w:rPr>
        <w:t>bevacizumab</w:t>
      </w:r>
      <w:r w:rsidRPr="001278B6">
        <w:rPr>
          <w:snapToGrid w:val="0"/>
          <w:lang w:val="da-DK"/>
        </w:rPr>
        <w:t xml:space="preserve"> som adjuverende behandling hos patienter med coloncancer, er hyppigheden af nye tilfælde af ovariesvigt, defineret som amenoré af 3 måneders varighed eller mere, FSH</w:t>
      </w:r>
      <w:r w:rsidR="004B3750">
        <w:rPr>
          <w:snapToGrid w:val="0"/>
          <w:lang w:val="da-DK"/>
        </w:rPr>
        <w:noBreakHyphen/>
      </w:r>
      <w:r w:rsidRPr="001278B6">
        <w:rPr>
          <w:snapToGrid w:val="0"/>
          <w:lang w:val="da-DK"/>
        </w:rPr>
        <w:t>koncentration ≥ 30 mIE/ml og en negativ serum</w:t>
      </w:r>
      <w:r w:rsidR="004B3750">
        <w:rPr>
          <w:snapToGrid w:val="0"/>
          <w:lang w:val="da-DK"/>
        </w:rPr>
        <w:noBreakHyphen/>
      </w:r>
      <w:r w:rsidRPr="001278B6">
        <w:rPr>
          <w:snapToGrid w:val="0"/>
          <w:lang w:val="da-DK"/>
        </w:rPr>
        <w:t>β</w:t>
      </w:r>
      <w:r w:rsidR="004B3750">
        <w:rPr>
          <w:snapToGrid w:val="0"/>
          <w:lang w:val="da-DK"/>
        </w:rPr>
        <w:noBreakHyphen/>
      </w:r>
      <w:r w:rsidRPr="001278B6">
        <w:rPr>
          <w:snapToGrid w:val="0"/>
          <w:lang w:val="da-DK"/>
        </w:rPr>
        <w:t>HCG</w:t>
      </w:r>
      <w:r w:rsidR="004B3750">
        <w:rPr>
          <w:snapToGrid w:val="0"/>
          <w:lang w:val="da-DK"/>
        </w:rPr>
        <w:noBreakHyphen/>
      </w:r>
      <w:r w:rsidRPr="001278B6">
        <w:rPr>
          <w:snapToGrid w:val="0"/>
          <w:lang w:val="da-DK"/>
        </w:rPr>
        <w:t>graviditetstest, blevet vurderet hos 295 præmenopausale kvinder. Nye tilfælde af ovariesvigt blev rapporteret hos 2,6</w:t>
      </w:r>
      <w:r w:rsidR="00042976">
        <w:rPr>
          <w:snapToGrid w:val="0"/>
          <w:lang w:val="da-DK"/>
        </w:rPr>
        <w:t> </w:t>
      </w:r>
      <w:r w:rsidRPr="001278B6">
        <w:rPr>
          <w:snapToGrid w:val="0"/>
          <w:lang w:val="da-DK"/>
        </w:rPr>
        <w:t>% af patienterne i mFOLFOX</w:t>
      </w:r>
      <w:r w:rsidR="004B3750">
        <w:rPr>
          <w:snapToGrid w:val="0"/>
          <w:lang w:val="da-DK"/>
        </w:rPr>
        <w:noBreakHyphen/>
      </w:r>
      <w:r w:rsidRPr="001278B6">
        <w:rPr>
          <w:snapToGrid w:val="0"/>
          <w:lang w:val="da-DK"/>
        </w:rPr>
        <w:t>6</w:t>
      </w:r>
      <w:r w:rsidR="004B3750">
        <w:rPr>
          <w:snapToGrid w:val="0"/>
          <w:lang w:val="da-DK"/>
        </w:rPr>
        <w:noBreakHyphen/>
      </w:r>
      <w:r w:rsidRPr="001278B6">
        <w:rPr>
          <w:snapToGrid w:val="0"/>
          <w:lang w:val="da-DK"/>
        </w:rPr>
        <w:t>gruppen sammenlignet med 39 % i mFOLFOX</w:t>
      </w:r>
      <w:r w:rsidR="004B3750">
        <w:rPr>
          <w:snapToGrid w:val="0"/>
          <w:lang w:val="da-DK"/>
        </w:rPr>
        <w:noBreakHyphen/>
      </w:r>
      <w:r w:rsidRPr="001278B6">
        <w:rPr>
          <w:snapToGrid w:val="0"/>
          <w:lang w:val="da-DK"/>
        </w:rPr>
        <w:t xml:space="preserve">6 plus </w:t>
      </w:r>
      <w:r w:rsidRPr="001278B6">
        <w:rPr>
          <w:snapToGrid w:val="0"/>
          <w:lang w:val="da-DK"/>
        </w:rPr>
        <w:lastRenderedPageBreak/>
        <w:t>bevacizumab</w:t>
      </w:r>
      <w:r w:rsidR="004B3750">
        <w:rPr>
          <w:snapToGrid w:val="0"/>
          <w:lang w:val="da-DK"/>
        </w:rPr>
        <w:noBreakHyphen/>
      </w:r>
      <w:r w:rsidRPr="001278B6">
        <w:rPr>
          <w:snapToGrid w:val="0"/>
          <w:lang w:val="da-DK"/>
        </w:rPr>
        <w:t>gruppen. Ovariefunktionen blev genoprettet hos 86,2 % af disse evaluerbare kvinder efter seponering af bevacizumab. Langtidsvirkningerne af bevacizumab</w:t>
      </w:r>
      <w:r w:rsidR="004B3750">
        <w:rPr>
          <w:snapToGrid w:val="0"/>
          <w:lang w:val="da-DK"/>
        </w:rPr>
        <w:noBreakHyphen/>
      </w:r>
      <w:r w:rsidRPr="001278B6">
        <w:rPr>
          <w:snapToGrid w:val="0"/>
          <w:lang w:val="da-DK"/>
        </w:rPr>
        <w:t>behandling på fertiliteten er ukendt.</w:t>
      </w:r>
    </w:p>
    <w:p w14:paraId="422E7021" w14:textId="77777777" w:rsidR="003563EF" w:rsidRPr="001278B6" w:rsidRDefault="003563EF" w:rsidP="001278B6">
      <w:pPr>
        <w:pStyle w:val="a3"/>
        <w:widowControl/>
        <w:adjustRightInd w:val="0"/>
        <w:snapToGrid w:val="0"/>
        <w:rPr>
          <w:snapToGrid w:val="0"/>
          <w:lang w:val="da-DK"/>
        </w:rPr>
      </w:pPr>
    </w:p>
    <w:p w14:paraId="0A906F18"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Unormale laboratorieprøver</w:t>
      </w:r>
    </w:p>
    <w:p w14:paraId="62029BAC" w14:textId="29EDB35B" w:rsidR="003563EF" w:rsidRPr="001278B6" w:rsidRDefault="00473235" w:rsidP="001278B6">
      <w:pPr>
        <w:pStyle w:val="a3"/>
        <w:widowControl/>
        <w:adjustRightInd w:val="0"/>
        <w:snapToGrid w:val="0"/>
        <w:rPr>
          <w:snapToGrid w:val="0"/>
          <w:lang w:val="da-DK"/>
        </w:rPr>
      </w:pPr>
      <w:r w:rsidRPr="001278B6">
        <w:rPr>
          <w:snapToGrid w:val="0"/>
          <w:lang w:val="da-DK"/>
        </w:rPr>
        <w:t xml:space="preserve">Nedsat neutrofiltal, nedsat leukocyttal og tilstedeværelse af proteiner i urinen kan være relateret til behandling med </w:t>
      </w:r>
      <w:r w:rsidR="00295FBB">
        <w:rPr>
          <w:iCs/>
          <w:snapToGrid w:val="0"/>
          <w:lang w:val="da-DK"/>
        </w:rPr>
        <w:t>Vegzelma</w:t>
      </w:r>
      <w:r w:rsidRPr="001278B6">
        <w:rPr>
          <w:snapToGrid w:val="0"/>
          <w:lang w:val="da-DK"/>
        </w:rPr>
        <w:t>.</w:t>
      </w:r>
    </w:p>
    <w:p w14:paraId="191AF8EB" w14:textId="77777777" w:rsidR="003563EF" w:rsidRPr="001278B6" w:rsidRDefault="003563EF" w:rsidP="001278B6">
      <w:pPr>
        <w:pStyle w:val="a3"/>
        <w:widowControl/>
        <w:adjustRightInd w:val="0"/>
        <w:snapToGrid w:val="0"/>
        <w:rPr>
          <w:snapToGrid w:val="0"/>
          <w:lang w:val="da-DK"/>
        </w:rPr>
      </w:pPr>
    </w:p>
    <w:p w14:paraId="3ACC044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Hos de patienter, der blev behandlet med </w:t>
      </w:r>
      <w:r w:rsidR="001C7FE7">
        <w:rPr>
          <w:snapToGrid w:val="0"/>
          <w:lang w:val="da-DK"/>
        </w:rPr>
        <w:t>bevacizumab</w:t>
      </w:r>
      <w:r w:rsidRPr="001278B6">
        <w:rPr>
          <w:snapToGrid w:val="0"/>
          <w:lang w:val="da-DK"/>
        </w:rPr>
        <w:t>, er der fra kliniske studier set en stigning på mindst 2</w:t>
      </w:r>
      <w:r w:rsidR="00652997">
        <w:rPr>
          <w:snapToGrid w:val="0"/>
          <w:lang w:val="da-DK"/>
        </w:rPr>
        <w:t> </w:t>
      </w:r>
      <w:r w:rsidRPr="001278B6">
        <w:rPr>
          <w:snapToGrid w:val="0"/>
          <w:lang w:val="da-DK"/>
        </w:rPr>
        <w:t>% i hyppigheden af følgende grad 3 og 4 (NCI</w:t>
      </w:r>
      <w:r w:rsidR="004B3750">
        <w:rPr>
          <w:snapToGrid w:val="0"/>
          <w:lang w:val="da-DK"/>
        </w:rPr>
        <w:noBreakHyphen/>
      </w:r>
      <w:r w:rsidRPr="001278B6">
        <w:rPr>
          <w:snapToGrid w:val="0"/>
          <w:lang w:val="da-DK"/>
        </w:rPr>
        <w:t>CTCAE v. 3) laboratorieanormaliteter sammenlignet med kontrolgrupperne: Hyperglykæmi, nedsat hæmoglobin, hypokaliæmi, hyponatriæmi, nedsat antal hvide blodceller, stigning i international normaliseret ratio (INR).</w:t>
      </w:r>
    </w:p>
    <w:p w14:paraId="3FCCAE0C" w14:textId="77777777" w:rsidR="003563EF" w:rsidRPr="001278B6" w:rsidRDefault="003563EF" w:rsidP="001278B6">
      <w:pPr>
        <w:pStyle w:val="a3"/>
        <w:widowControl/>
        <w:adjustRightInd w:val="0"/>
        <w:snapToGrid w:val="0"/>
        <w:rPr>
          <w:snapToGrid w:val="0"/>
          <w:lang w:val="da-DK"/>
        </w:rPr>
      </w:pPr>
    </w:p>
    <w:p w14:paraId="2A3DDA2D"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Kliniske studier har vist, at </w:t>
      </w:r>
      <w:r w:rsidR="00441ECB">
        <w:rPr>
          <w:snapToGrid w:val="0"/>
          <w:lang w:val="da-DK"/>
        </w:rPr>
        <w:t>bevacizumab</w:t>
      </w:r>
      <w:r w:rsidRPr="001278B6">
        <w:rPr>
          <w:snapToGrid w:val="0"/>
          <w:lang w:val="da-DK"/>
        </w:rPr>
        <w:t>behandlingen er forbundet med midlertidige stigninger i serum</w:t>
      </w:r>
      <w:r w:rsidR="004B3750">
        <w:rPr>
          <w:snapToGrid w:val="0"/>
          <w:lang w:val="da-DK"/>
        </w:rPr>
        <w:noBreakHyphen/>
      </w:r>
      <w:r w:rsidRPr="001278B6">
        <w:rPr>
          <w:snapToGrid w:val="0"/>
          <w:lang w:val="da-DK"/>
        </w:rPr>
        <w:t>kreatinin (i intervallet 1,5</w:t>
      </w:r>
      <w:r w:rsidR="004B3750">
        <w:rPr>
          <w:snapToGrid w:val="0"/>
          <w:lang w:val="da-DK"/>
        </w:rPr>
        <w:noBreakHyphen/>
      </w:r>
      <w:r w:rsidRPr="001278B6">
        <w:rPr>
          <w:snapToGrid w:val="0"/>
          <w:lang w:val="da-DK"/>
        </w:rPr>
        <w:t xml:space="preserve">1,9 gange </w:t>
      </w:r>
      <w:r w:rsidRPr="001278B6">
        <w:rPr>
          <w:i/>
          <w:snapToGrid w:val="0"/>
          <w:lang w:val="da-DK"/>
        </w:rPr>
        <w:t>baseline</w:t>
      </w:r>
      <w:r w:rsidR="004B3750">
        <w:rPr>
          <w:i/>
          <w:snapToGrid w:val="0"/>
          <w:lang w:val="da-DK"/>
        </w:rPr>
        <w:noBreakHyphen/>
      </w:r>
      <w:r w:rsidRPr="001278B6">
        <w:rPr>
          <w:snapToGrid w:val="0"/>
          <w:lang w:val="da-DK"/>
        </w:rPr>
        <w:t>niveau), både med og uden proteinuri. Den observerede stigning i serum</w:t>
      </w:r>
      <w:r w:rsidR="004B3750">
        <w:rPr>
          <w:snapToGrid w:val="0"/>
          <w:lang w:val="da-DK"/>
        </w:rPr>
        <w:noBreakHyphen/>
      </w:r>
      <w:r w:rsidRPr="001278B6">
        <w:rPr>
          <w:snapToGrid w:val="0"/>
          <w:lang w:val="da-DK"/>
        </w:rPr>
        <w:t xml:space="preserve">kreatinin var ikke forbundet med højere forekomst af kliniske manifestationer af nedsat nyrefunktion hos patienter, som var behandlet med </w:t>
      </w:r>
      <w:r w:rsidR="00441ECB">
        <w:rPr>
          <w:snapToGrid w:val="0"/>
          <w:lang w:val="da-DK"/>
        </w:rPr>
        <w:t>bevacizumab</w:t>
      </w:r>
      <w:r w:rsidRPr="001278B6">
        <w:rPr>
          <w:snapToGrid w:val="0"/>
          <w:lang w:val="da-DK"/>
        </w:rPr>
        <w:t>.</w:t>
      </w:r>
    </w:p>
    <w:p w14:paraId="21E7C5B1" w14:textId="77777777" w:rsidR="0079124A" w:rsidRPr="001278B6" w:rsidRDefault="0079124A" w:rsidP="001278B6">
      <w:pPr>
        <w:widowControl/>
        <w:adjustRightInd w:val="0"/>
        <w:snapToGrid w:val="0"/>
        <w:rPr>
          <w:snapToGrid w:val="0"/>
          <w:lang w:val="da-DK"/>
        </w:rPr>
      </w:pPr>
    </w:p>
    <w:p w14:paraId="5397ECDE"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Andre specielle populationer</w:t>
      </w:r>
    </w:p>
    <w:p w14:paraId="0666EB20" w14:textId="77777777" w:rsidR="003563EF" w:rsidRPr="001278B6" w:rsidRDefault="003563EF" w:rsidP="001278B6">
      <w:pPr>
        <w:pStyle w:val="a3"/>
        <w:keepNext/>
        <w:keepLines/>
        <w:widowControl/>
        <w:adjustRightInd w:val="0"/>
        <w:snapToGrid w:val="0"/>
        <w:rPr>
          <w:snapToGrid w:val="0"/>
          <w:lang w:val="da-DK"/>
        </w:rPr>
      </w:pPr>
    </w:p>
    <w:p w14:paraId="3556E25F"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Ældre patienter</w:t>
      </w:r>
    </w:p>
    <w:p w14:paraId="613735B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Randomiserede, kliniske studier viste at alder &gt; 65 år var associeret med øget risiko for udvikling af arterielle tromboemboliske bivirkninger, inklusive cerebrovaskulære tilfælde, transitorisk cerebral iskæmi og myokardieinfarkt. Andre bivirkninger ved behandling med </w:t>
      </w:r>
      <w:r w:rsidR="00441ECB">
        <w:rPr>
          <w:snapToGrid w:val="0"/>
          <w:lang w:val="da-DK"/>
        </w:rPr>
        <w:t>bevacizumab</w:t>
      </w:r>
      <w:r w:rsidRPr="001278B6">
        <w:rPr>
          <w:snapToGrid w:val="0"/>
          <w:lang w:val="da-DK"/>
        </w:rPr>
        <w:t xml:space="preserve">, der blev set med en højere frekvens hos patienter over 65 år </w:t>
      </w:r>
      <w:r w:rsidRPr="001278B6">
        <w:rPr>
          <w:i/>
          <w:snapToGrid w:val="0"/>
          <w:lang w:val="da-DK"/>
        </w:rPr>
        <w:t xml:space="preserve">versus </w:t>
      </w:r>
      <w:r w:rsidRPr="001278B6">
        <w:rPr>
          <w:snapToGrid w:val="0"/>
          <w:lang w:val="da-DK"/>
        </w:rPr>
        <w:t>patienter ≤ 65 år, var grad 3</w:t>
      </w:r>
      <w:r w:rsidR="004B3750">
        <w:rPr>
          <w:snapToGrid w:val="0"/>
          <w:lang w:val="da-DK"/>
        </w:rPr>
        <w:noBreakHyphen/>
      </w:r>
      <w:r w:rsidRPr="001278B6">
        <w:rPr>
          <w:snapToGrid w:val="0"/>
          <w:lang w:val="da-DK"/>
        </w:rPr>
        <w:t>4 leukopeni og trombocytopeni (NCI</w:t>
      </w:r>
      <w:r w:rsidR="004B3750">
        <w:rPr>
          <w:snapToGrid w:val="0"/>
          <w:lang w:val="da-DK"/>
        </w:rPr>
        <w:noBreakHyphen/>
      </w:r>
      <w:r w:rsidRPr="001278B6">
        <w:rPr>
          <w:snapToGrid w:val="0"/>
          <w:lang w:val="da-DK"/>
        </w:rPr>
        <w:t xml:space="preserve">CTCAE v. 3) samt neutropeni (alle grader), diarré, kvalme, hovedpine og træthed (se pkt. 4.4 og 4.8 under </w:t>
      </w:r>
      <w:r w:rsidRPr="001278B6">
        <w:rPr>
          <w:i/>
          <w:snapToGrid w:val="0"/>
          <w:lang w:val="da-DK"/>
        </w:rPr>
        <w:t>Tromboemboli</w:t>
      </w:r>
      <w:r w:rsidRPr="001278B6">
        <w:rPr>
          <w:snapToGrid w:val="0"/>
          <w:lang w:val="da-DK"/>
        </w:rPr>
        <w:t>). I et klinisk studie var hypertension af grad ≥ 3 dobbelt så hyppig hos patienter ˃ 65 år som hos patienter &lt; 65 år. I et studie med patienter med platinresistent recidiverende ovariecancer blev der også rapporteret alopeci, slimhindeinflammation, perifer sensorisk neuropati, proteinuri og hypertension, og forekomsten var mindst 5 % højere i kemoterapi + bevacizumab</w:t>
      </w:r>
      <w:r w:rsidR="004B3750">
        <w:rPr>
          <w:snapToGrid w:val="0"/>
          <w:lang w:val="da-DK"/>
        </w:rPr>
        <w:noBreakHyphen/>
      </w:r>
      <w:r w:rsidRPr="001278B6">
        <w:rPr>
          <w:snapToGrid w:val="0"/>
          <w:lang w:val="da-DK"/>
        </w:rPr>
        <w:t>armen hos patienter ≥ 65 år, som fik bevacizumab, sammenlignet med patienter &lt; 65 år, som fik bevacizumab.</w:t>
      </w:r>
    </w:p>
    <w:p w14:paraId="1E15B50F" w14:textId="77777777" w:rsidR="003563EF" w:rsidRPr="001278B6" w:rsidRDefault="003563EF" w:rsidP="001278B6">
      <w:pPr>
        <w:pStyle w:val="a3"/>
        <w:widowControl/>
        <w:adjustRightInd w:val="0"/>
        <w:snapToGrid w:val="0"/>
        <w:rPr>
          <w:snapToGrid w:val="0"/>
          <w:lang w:val="da-DK"/>
        </w:rPr>
      </w:pPr>
    </w:p>
    <w:p w14:paraId="41CFBDAA" w14:textId="405A8DA9" w:rsidR="003563EF" w:rsidRPr="001278B6" w:rsidRDefault="00473235" w:rsidP="001278B6">
      <w:pPr>
        <w:pStyle w:val="a3"/>
        <w:widowControl/>
        <w:adjustRightInd w:val="0"/>
        <w:snapToGrid w:val="0"/>
        <w:rPr>
          <w:snapToGrid w:val="0"/>
          <w:lang w:val="da-DK"/>
        </w:rPr>
      </w:pPr>
      <w:r w:rsidRPr="001278B6">
        <w:rPr>
          <w:snapToGrid w:val="0"/>
          <w:lang w:val="da-DK"/>
        </w:rPr>
        <w:t xml:space="preserve">Der blev ikke set øget hyppighed af andre bivirkninger, inklusive gastrointestinal perforation, sårhelingskomplikationer, </w:t>
      </w:r>
      <w:r w:rsidR="00112733">
        <w:rPr>
          <w:snapToGrid w:val="0"/>
          <w:lang w:val="da-DK"/>
        </w:rPr>
        <w:t>CHF</w:t>
      </w:r>
      <w:r w:rsidRPr="001278B6">
        <w:rPr>
          <w:snapToGrid w:val="0"/>
          <w:lang w:val="da-DK"/>
        </w:rPr>
        <w:t xml:space="preserve"> og blødninger hos ældre patienter (&gt; 65 år), som fik </w:t>
      </w:r>
      <w:r w:rsidR="00441ECB">
        <w:rPr>
          <w:snapToGrid w:val="0"/>
          <w:lang w:val="da-DK"/>
        </w:rPr>
        <w:t>bevacizumab</w:t>
      </w:r>
      <w:r w:rsidRPr="001278B6">
        <w:rPr>
          <w:snapToGrid w:val="0"/>
          <w:lang w:val="da-DK"/>
        </w:rPr>
        <w:t xml:space="preserve">, sammenlignet med patienter under 65 år, som fik </w:t>
      </w:r>
      <w:r w:rsidR="00441ECB">
        <w:rPr>
          <w:snapToGrid w:val="0"/>
          <w:lang w:val="da-DK"/>
        </w:rPr>
        <w:t>bevacizumab</w:t>
      </w:r>
      <w:r w:rsidRPr="001278B6">
        <w:rPr>
          <w:snapToGrid w:val="0"/>
          <w:lang w:val="da-DK"/>
        </w:rPr>
        <w:t>.</w:t>
      </w:r>
    </w:p>
    <w:p w14:paraId="59AC0BF5" w14:textId="77777777" w:rsidR="003563EF" w:rsidRPr="001278B6" w:rsidRDefault="003563EF" w:rsidP="001278B6">
      <w:pPr>
        <w:pStyle w:val="a3"/>
        <w:widowControl/>
        <w:adjustRightInd w:val="0"/>
        <w:snapToGrid w:val="0"/>
        <w:rPr>
          <w:snapToGrid w:val="0"/>
          <w:lang w:val="da-DK"/>
        </w:rPr>
      </w:pPr>
    </w:p>
    <w:p w14:paraId="385390BE"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Pædiatrisk population</w:t>
      </w:r>
    </w:p>
    <w:p w14:paraId="78E4A196"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Sikkerheden og effekten af </w:t>
      </w:r>
      <w:r w:rsidR="00441ECB">
        <w:rPr>
          <w:snapToGrid w:val="0"/>
          <w:lang w:val="da-DK"/>
        </w:rPr>
        <w:t>bevacizumab</w:t>
      </w:r>
      <w:r w:rsidRPr="001278B6">
        <w:rPr>
          <w:snapToGrid w:val="0"/>
          <w:lang w:val="da-DK"/>
        </w:rPr>
        <w:t xml:space="preserve"> hos børn under 18 år er ikke klarlagt.</w:t>
      </w:r>
    </w:p>
    <w:p w14:paraId="7617EC27" w14:textId="77777777" w:rsidR="003563EF" w:rsidRPr="001278B6" w:rsidRDefault="003563EF" w:rsidP="001278B6">
      <w:pPr>
        <w:pStyle w:val="a3"/>
        <w:widowControl/>
        <w:adjustRightInd w:val="0"/>
        <w:snapToGrid w:val="0"/>
        <w:rPr>
          <w:snapToGrid w:val="0"/>
          <w:lang w:val="da-DK"/>
        </w:rPr>
      </w:pPr>
    </w:p>
    <w:p w14:paraId="0ECB8D5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studie BO25041 blev </w:t>
      </w:r>
      <w:r w:rsidR="00441ECB">
        <w:rPr>
          <w:snapToGrid w:val="0"/>
          <w:lang w:val="da-DK"/>
        </w:rPr>
        <w:t>bevacizumab</w:t>
      </w:r>
      <w:r w:rsidRPr="001278B6">
        <w:rPr>
          <w:snapToGrid w:val="0"/>
          <w:lang w:val="da-DK"/>
        </w:rPr>
        <w:t xml:space="preserve"> føjet til </w:t>
      </w:r>
      <w:r w:rsidRPr="001278B6">
        <w:rPr>
          <w:i/>
          <w:snapToGrid w:val="0"/>
          <w:lang w:val="da-DK"/>
        </w:rPr>
        <w:t>post</w:t>
      </w:r>
      <w:r w:rsidR="004B3750">
        <w:rPr>
          <w:snapToGrid w:val="0"/>
          <w:lang w:val="da-DK"/>
        </w:rPr>
        <w:noBreakHyphen/>
      </w:r>
      <w:r w:rsidRPr="001278B6">
        <w:rPr>
          <w:snapToGrid w:val="0"/>
          <w:lang w:val="da-DK"/>
        </w:rPr>
        <w:t>operativ strålebehandling med samtidig adjuverende temozolomidbehandling hos pædiatriske patienter med nyligt diagnosticeret supratentorielt, infratentorielt, cerebellært eller pedunkulært høj</w:t>
      </w:r>
      <w:r w:rsidR="004B3750">
        <w:rPr>
          <w:snapToGrid w:val="0"/>
          <w:lang w:val="da-DK"/>
        </w:rPr>
        <w:noBreakHyphen/>
      </w:r>
      <w:r w:rsidRPr="001278B6">
        <w:rPr>
          <w:snapToGrid w:val="0"/>
          <w:lang w:val="da-DK"/>
        </w:rPr>
        <w:t>grads</w:t>
      </w:r>
      <w:r w:rsidR="004B3750">
        <w:rPr>
          <w:snapToGrid w:val="0"/>
          <w:lang w:val="da-DK"/>
        </w:rPr>
        <w:noBreakHyphen/>
      </w:r>
      <w:r w:rsidRPr="001278B6">
        <w:rPr>
          <w:snapToGrid w:val="0"/>
          <w:lang w:val="da-DK"/>
        </w:rPr>
        <w:t xml:space="preserve">gliom. Sikkerhedsprofilen var sammenlignelig med sikkerhedsprofilen hos </w:t>
      </w:r>
      <w:r w:rsidR="00441ECB">
        <w:rPr>
          <w:snapToGrid w:val="0"/>
          <w:lang w:val="da-DK"/>
        </w:rPr>
        <w:t>bevacizumab</w:t>
      </w:r>
      <w:r w:rsidRPr="001278B6">
        <w:rPr>
          <w:snapToGrid w:val="0"/>
          <w:lang w:val="da-DK"/>
        </w:rPr>
        <w:t>behandlede voksne med andre kræfttyper.</w:t>
      </w:r>
    </w:p>
    <w:p w14:paraId="31F99E6B" w14:textId="77777777" w:rsidR="003563EF" w:rsidRPr="001278B6" w:rsidRDefault="003563EF" w:rsidP="001278B6">
      <w:pPr>
        <w:pStyle w:val="a3"/>
        <w:widowControl/>
        <w:adjustRightInd w:val="0"/>
        <w:snapToGrid w:val="0"/>
        <w:rPr>
          <w:snapToGrid w:val="0"/>
          <w:lang w:val="da-DK"/>
        </w:rPr>
      </w:pPr>
    </w:p>
    <w:p w14:paraId="503F2C9D"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studie BO20924 hvor </w:t>
      </w:r>
      <w:r w:rsidR="00441ECB">
        <w:rPr>
          <w:snapToGrid w:val="0"/>
          <w:lang w:val="da-DK"/>
        </w:rPr>
        <w:t>bevacizumab</w:t>
      </w:r>
      <w:r w:rsidRPr="001278B6">
        <w:rPr>
          <w:snapToGrid w:val="0"/>
          <w:lang w:val="da-DK"/>
        </w:rPr>
        <w:t xml:space="preserve"> var givet sammen med standardbehandlingen af metastatisk rabdomyosarkom og ikke</w:t>
      </w:r>
      <w:r w:rsidR="004B3750">
        <w:rPr>
          <w:snapToGrid w:val="0"/>
          <w:lang w:val="da-DK"/>
        </w:rPr>
        <w:noBreakHyphen/>
      </w:r>
      <w:r w:rsidRPr="001278B6">
        <w:rPr>
          <w:snapToGrid w:val="0"/>
          <w:lang w:val="da-DK"/>
        </w:rPr>
        <w:t xml:space="preserve">rabdomyosarkom bløddelssarkom var sikkerhedsprofilen hos de </w:t>
      </w:r>
      <w:r w:rsidR="00441ECB">
        <w:rPr>
          <w:snapToGrid w:val="0"/>
          <w:lang w:val="da-DK"/>
        </w:rPr>
        <w:t>bevacizumab</w:t>
      </w:r>
      <w:r w:rsidRPr="001278B6">
        <w:rPr>
          <w:snapToGrid w:val="0"/>
          <w:lang w:val="da-DK"/>
        </w:rPr>
        <w:t xml:space="preserve">behandlede børn sammenlignelig med den som var observeret hos </w:t>
      </w:r>
      <w:r w:rsidR="00441ECB">
        <w:rPr>
          <w:snapToGrid w:val="0"/>
          <w:lang w:val="da-DK"/>
        </w:rPr>
        <w:t>bevacizumab</w:t>
      </w:r>
      <w:r w:rsidRPr="001278B6">
        <w:rPr>
          <w:snapToGrid w:val="0"/>
          <w:lang w:val="da-DK"/>
        </w:rPr>
        <w:t>behandlede voksne.</w:t>
      </w:r>
    </w:p>
    <w:p w14:paraId="229F504A" w14:textId="77777777" w:rsidR="003563EF" w:rsidRPr="001278B6" w:rsidRDefault="003563EF" w:rsidP="001278B6">
      <w:pPr>
        <w:pStyle w:val="a3"/>
        <w:widowControl/>
        <w:adjustRightInd w:val="0"/>
        <w:snapToGrid w:val="0"/>
        <w:rPr>
          <w:snapToGrid w:val="0"/>
          <w:lang w:val="da-DK"/>
        </w:rPr>
      </w:pPr>
    </w:p>
    <w:p w14:paraId="54D7E4C6" w14:textId="1F067284" w:rsidR="003563EF" w:rsidRPr="001278B6" w:rsidRDefault="00295FBB" w:rsidP="001278B6">
      <w:pPr>
        <w:pStyle w:val="a3"/>
        <w:widowControl/>
        <w:adjustRightInd w:val="0"/>
        <w:snapToGrid w:val="0"/>
        <w:rPr>
          <w:snapToGrid w:val="0"/>
          <w:lang w:val="da-DK"/>
        </w:rPr>
      </w:pPr>
      <w:r>
        <w:rPr>
          <w:iCs/>
          <w:snapToGrid w:val="0"/>
          <w:lang w:val="da-DK"/>
        </w:rPr>
        <w:t>Vegzelma</w:t>
      </w:r>
      <w:r w:rsidR="00473235" w:rsidRPr="001278B6">
        <w:rPr>
          <w:snapToGrid w:val="0"/>
          <w:lang w:val="da-DK"/>
        </w:rPr>
        <w:t xml:space="preserve"> er ikke godkendt til anvendelse hos patienter under 18 år. I publicerede rapporter har tilfælde af ikke</w:t>
      </w:r>
      <w:r w:rsidR="004B3750">
        <w:rPr>
          <w:snapToGrid w:val="0"/>
          <w:lang w:val="da-DK"/>
        </w:rPr>
        <w:noBreakHyphen/>
      </w:r>
      <w:r w:rsidR="00473235" w:rsidRPr="001278B6">
        <w:rPr>
          <w:snapToGrid w:val="0"/>
          <w:lang w:val="da-DK"/>
        </w:rPr>
        <w:t xml:space="preserve">mandibulær osteonekrose været observeret hos patienter under 18 år behandlet med </w:t>
      </w:r>
      <w:r w:rsidR="00441ECB">
        <w:rPr>
          <w:snapToGrid w:val="0"/>
          <w:lang w:val="da-DK"/>
        </w:rPr>
        <w:t>bevacizumab</w:t>
      </w:r>
      <w:r w:rsidR="00473235" w:rsidRPr="001278B6">
        <w:rPr>
          <w:snapToGrid w:val="0"/>
          <w:lang w:val="da-DK"/>
        </w:rPr>
        <w:t>.</w:t>
      </w:r>
    </w:p>
    <w:p w14:paraId="79705B1D" w14:textId="77777777" w:rsidR="0079124A" w:rsidRPr="001278B6" w:rsidRDefault="0079124A" w:rsidP="001278B6">
      <w:pPr>
        <w:widowControl/>
        <w:adjustRightInd w:val="0"/>
        <w:snapToGrid w:val="0"/>
        <w:rPr>
          <w:snapToGrid w:val="0"/>
          <w:lang w:val="da-DK"/>
        </w:rPr>
      </w:pPr>
    </w:p>
    <w:p w14:paraId="666469E9"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lastRenderedPageBreak/>
        <w:t>Post</w:t>
      </w:r>
      <w:r w:rsidR="004B3750">
        <w:rPr>
          <w:snapToGrid w:val="0"/>
          <w:u w:val="single"/>
          <w:lang w:val="da-DK"/>
        </w:rPr>
        <w:noBreakHyphen/>
      </w:r>
      <w:r w:rsidRPr="001278B6">
        <w:rPr>
          <w:snapToGrid w:val="0"/>
          <w:u w:val="single"/>
          <w:lang w:val="da-DK"/>
        </w:rPr>
        <w:t>marketing erfaring</w:t>
      </w:r>
    </w:p>
    <w:p w14:paraId="353FEB95" w14:textId="77777777" w:rsidR="003563EF" w:rsidRPr="001278B6" w:rsidRDefault="003563EF" w:rsidP="001278B6">
      <w:pPr>
        <w:pStyle w:val="a3"/>
        <w:keepNext/>
        <w:keepLines/>
        <w:widowControl/>
        <w:adjustRightInd w:val="0"/>
        <w:snapToGrid w:val="0"/>
        <w:rPr>
          <w:snapToGrid w:val="0"/>
          <w:lang w:val="da-DK"/>
        </w:rPr>
      </w:pPr>
    </w:p>
    <w:p w14:paraId="703D8818" w14:textId="77777777" w:rsidR="003563EF" w:rsidRPr="00765991" w:rsidRDefault="00473235" w:rsidP="00765991">
      <w:pPr>
        <w:keepNext/>
        <w:keepLines/>
        <w:ind w:left="1134" w:hanging="1134"/>
        <w:rPr>
          <w:b/>
          <w:bCs/>
          <w:snapToGrid w:val="0"/>
          <w:lang w:val="da-DK"/>
        </w:rPr>
      </w:pPr>
      <w:r w:rsidRPr="00765991">
        <w:rPr>
          <w:b/>
          <w:bCs/>
          <w:snapToGrid w:val="0"/>
          <w:lang w:val="da-DK"/>
        </w:rPr>
        <w:t>Tabel 3.</w:t>
      </w:r>
      <w:r w:rsidRPr="00765991">
        <w:rPr>
          <w:b/>
          <w:bCs/>
          <w:snapToGrid w:val="0"/>
          <w:lang w:val="da-DK"/>
        </w:rPr>
        <w:tab/>
        <w:t>Bivirkninger rapporteret post</w:t>
      </w:r>
      <w:r w:rsidR="004B3750" w:rsidRPr="00765991">
        <w:rPr>
          <w:b/>
          <w:bCs/>
          <w:snapToGrid w:val="0"/>
          <w:lang w:val="da-DK"/>
        </w:rPr>
        <w:noBreakHyphen/>
      </w:r>
      <w:r w:rsidRPr="00765991">
        <w:rPr>
          <w:b/>
          <w:bCs/>
          <w:snapToGrid w:val="0"/>
          <w:lang w:val="da-DK"/>
        </w:rPr>
        <w:t>marketing</w:t>
      </w:r>
    </w:p>
    <w:p w14:paraId="039B002D" w14:textId="77777777" w:rsidR="003563EF" w:rsidRPr="001278B6" w:rsidRDefault="003563EF" w:rsidP="00765991">
      <w:pPr>
        <w:pStyle w:val="a3"/>
        <w:keepNext/>
        <w:keepLines/>
        <w:widowControl/>
        <w:adjustRightInd w:val="0"/>
        <w:snapToGrid w:val="0"/>
        <w:rPr>
          <w:b/>
          <w:snapToGrid w:val="0"/>
          <w:lang w:val="da-DK"/>
        </w:rPr>
      </w:pPr>
    </w:p>
    <w:tbl>
      <w:tblPr>
        <w:tblW w:w="5000" w:type="pc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6"/>
        <w:gridCol w:w="6650"/>
      </w:tblGrid>
      <w:tr w:rsidR="003563EF" w:rsidRPr="005476B6" w14:paraId="20BBE813" w14:textId="77777777" w:rsidTr="001278B6">
        <w:trPr>
          <w:tblHeader/>
        </w:trPr>
        <w:tc>
          <w:tcPr>
            <w:tcW w:w="2417" w:type="dxa"/>
          </w:tcPr>
          <w:p w14:paraId="6C6270C6" w14:textId="77777777" w:rsidR="003563EF" w:rsidRPr="001278B6" w:rsidRDefault="00473235" w:rsidP="001278B6">
            <w:pPr>
              <w:pStyle w:val="TableParagraph"/>
              <w:keepNext/>
              <w:keepLines/>
              <w:widowControl/>
              <w:adjustRightInd w:val="0"/>
              <w:snapToGrid w:val="0"/>
              <w:jc w:val="center"/>
              <w:rPr>
                <w:b/>
                <w:bCs/>
                <w:i/>
                <w:snapToGrid w:val="0"/>
                <w:sz w:val="20"/>
                <w:szCs w:val="20"/>
                <w:lang w:val="da-DK"/>
              </w:rPr>
            </w:pPr>
            <w:r w:rsidRPr="001278B6">
              <w:rPr>
                <w:b/>
                <w:bCs/>
                <w:i/>
                <w:snapToGrid w:val="0"/>
                <w:sz w:val="20"/>
                <w:szCs w:val="20"/>
                <w:lang w:val="da-DK"/>
              </w:rPr>
              <w:t>Systemorganklasse</w:t>
            </w:r>
          </w:p>
        </w:tc>
        <w:tc>
          <w:tcPr>
            <w:tcW w:w="6679" w:type="dxa"/>
          </w:tcPr>
          <w:p w14:paraId="178D3F23" w14:textId="77777777" w:rsidR="003563EF" w:rsidRPr="001278B6" w:rsidRDefault="00473235" w:rsidP="001278B6">
            <w:pPr>
              <w:pStyle w:val="TableParagraph"/>
              <w:keepNext/>
              <w:keepLines/>
              <w:widowControl/>
              <w:adjustRightInd w:val="0"/>
              <w:snapToGrid w:val="0"/>
              <w:ind w:left="54"/>
              <w:jc w:val="center"/>
              <w:rPr>
                <w:b/>
                <w:bCs/>
                <w:i/>
                <w:snapToGrid w:val="0"/>
                <w:sz w:val="20"/>
                <w:szCs w:val="20"/>
                <w:lang w:val="da-DK"/>
              </w:rPr>
            </w:pPr>
            <w:r w:rsidRPr="001278B6">
              <w:rPr>
                <w:b/>
                <w:bCs/>
                <w:i/>
                <w:snapToGrid w:val="0"/>
                <w:sz w:val="20"/>
                <w:szCs w:val="20"/>
                <w:lang w:val="da-DK"/>
              </w:rPr>
              <w:t>Bivirkninger (frekvens*)</w:t>
            </w:r>
          </w:p>
        </w:tc>
      </w:tr>
      <w:tr w:rsidR="003563EF" w:rsidRPr="007E69C7" w14:paraId="7AE8A0A7" w14:textId="77777777" w:rsidTr="001278B6">
        <w:tc>
          <w:tcPr>
            <w:tcW w:w="2417" w:type="dxa"/>
            <w:tcBorders>
              <w:left w:val="single" w:sz="4" w:space="0" w:color="000000"/>
              <w:bottom w:val="single" w:sz="4" w:space="0" w:color="000000"/>
            </w:tcBorders>
          </w:tcPr>
          <w:p w14:paraId="63C2E9E1"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Infektioner og parasitære sygdomme</w:t>
            </w:r>
          </w:p>
        </w:tc>
        <w:tc>
          <w:tcPr>
            <w:tcW w:w="6679" w:type="dxa"/>
            <w:tcBorders>
              <w:bottom w:val="single" w:sz="4" w:space="0" w:color="000000"/>
              <w:right w:val="single" w:sz="4" w:space="0" w:color="000000"/>
            </w:tcBorders>
          </w:tcPr>
          <w:p w14:paraId="479359CB"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Nekrotiserende fasciitis, som regel sekundært til sårhelingskomplikationer, gastrointestinal perforation eller fisteldannelse (sjælden) (se også pkt. 4.4)</w:t>
            </w:r>
          </w:p>
        </w:tc>
      </w:tr>
      <w:tr w:rsidR="003563EF" w:rsidRPr="00667130" w14:paraId="7247B0D2" w14:textId="77777777" w:rsidTr="001278B6">
        <w:tc>
          <w:tcPr>
            <w:tcW w:w="2417" w:type="dxa"/>
            <w:tcBorders>
              <w:top w:val="single" w:sz="4" w:space="0" w:color="000000"/>
              <w:left w:val="single" w:sz="4" w:space="0" w:color="000000"/>
              <w:bottom w:val="single" w:sz="4" w:space="0" w:color="000000"/>
            </w:tcBorders>
          </w:tcPr>
          <w:p w14:paraId="496813B0"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Immunsystemet</w:t>
            </w:r>
          </w:p>
        </w:tc>
        <w:tc>
          <w:tcPr>
            <w:tcW w:w="6679" w:type="dxa"/>
            <w:tcBorders>
              <w:top w:val="single" w:sz="4" w:space="0" w:color="000000"/>
              <w:bottom w:val="single" w:sz="4" w:space="0" w:color="000000"/>
              <w:right w:val="single" w:sz="4" w:space="0" w:color="000000"/>
            </w:tcBorders>
          </w:tcPr>
          <w:p w14:paraId="1259F459" w14:textId="51321454" w:rsidR="003563EF"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Overfølsomhedsreaktioner og infusionsreaktioner (</w:t>
            </w:r>
            <w:r w:rsidR="006F3171" w:rsidRPr="006F3171">
              <w:rPr>
                <w:snapToGrid w:val="0"/>
                <w:sz w:val="20"/>
                <w:szCs w:val="20"/>
                <w:lang w:val="da-DK"/>
              </w:rPr>
              <w:t>almindelig</w:t>
            </w:r>
            <w:r w:rsidRPr="001278B6">
              <w:rPr>
                <w:snapToGrid w:val="0"/>
                <w:sz w:val="20"/>
                <w:szCs w:val="20"/>
                <w:lang w:val="da-DK"/>
              </w:rPr>
              <w:t>) med følgende mulige co</w:t>
            </w:r>
            <w:r w:rsidR="004B3750">
              <w:rPr>
                <w:snapToGrid w:val="0"/>
                <w:sz w:val="20"/>
                <w:szCs w:val="20"/>
                <w:lang w:val="da-DK"/>
              </w:rPr>
              <w:noBreakHyphen/>
            </w:r>
            <w:r w:rsidRPr="001278B6">
              <w:rPr>
                <w:snapToGrid w:val="0"/>
                <w:sz w:val="20"/>
                <w:szCs w:val="20"/>
                <w:lang w:val="da-DK"/>
              </w:rPr>
              <w:t xml:space="preserve">manifestationer: Dyspnø/vejrtrækningsbesvær, blussen/rødme/udslæt, hypotension eller hypertension, nedsat iltmætning, brystsmerter, rigor og kvalme/opkastning (se også pkt. 4.4 og </w:t>
            </w:r>
            <w:r w:rsidRPr="00F466A3">
              <w:rPr>
                <w:i/>
                <w:snapToGrid w:val="0"/>
                <w:sz w:val="20"/>
                <w:szCs w:val="20"/>
                <w:u w:val="single"/>
                <w:lang w:val="da-DK"/>
              </w:rPr>
              <w:t>Overfølsomhedsreaktioner</w:t>
            </w:r>
            <w:r w:rsidR="00287A00">
              <w:rPr>
                <w:rFonts w:eastAsia="맑은 고딕" w:hint="eastAsia"/>
                <w:i/>
                <w:snapToGrid w:val="0"/>
                <w:sz w:val="20"/>
                <w:szCs w:val="20"/>
                <w:u w:val="single"/>
                <w:lang w:val="da-DK" w:eastAsia="ko-KR"/>
              </w:rPr>
              <w:t xml:space="preserve"> </w:t>
            </w:r>
            <w:r w:rsidR="00287A00" w:rsidRPr="00287A00">
              <w:rPr>
                <w:i/>
                <w:snapToGrid w:val="0"/>
                <w:sz w:val="20"/>
                <w:szCs w:val="20"/>
                <w:u w:val="single"/>
                <w:lang w:val="da-DK"/>
              </w:rPr>
              <w:t>(inklusive anafylaktisk shock)</w:t>
            </w:r>
            <w:r w:rsidRPr="00F466A3">
              <w:rPr>
                <w:i/>
                <w:snapToGrid w:val="0"/>
                <w:sz w:val="20"/>
                <w:szCs w:val="20"/>
                <w:u w:val="single"/>
                <w:lang w:val="da-DK"/>
              </w:rPr>
              <w:t>/infusionsreaktioner</w:t>
            </w:r>
            <w:r w:rsidRPr="001278B6">
              <w:rPr>
                <w:i/>
                <w:snapToGrid w:val="0"/>
                <w:sz w:val="20"/>
                <w:szCs w:val="20"/>
                <w:lang w:val="da-DK"/>
              </w:rPr>
              <w:t xml:space="preserve"> </w:t>
            </w:r>
            <w:r w:rsidRPr="001278B6">
              <w:rPr>
                <w:snapToGrid w:val="0"/>
                <w:sz w:val="20"/>
                <w:szCs w:val="20"/>
                <w:lang w:val="da-DK"/>
              </w:rPr>
              <w:t>ovenfor).</w:t>
            </w:r>
          </w:p>
          <w:p w14:paraId="2F73A798" w14:textId="77777777" w:rsidR="00667130" w:rsidRDefault="00667130" w:rsidP="001278B6">
            <w:pPr>
              <w:pStyle w:val="TableParagraph"/>
              <w:widowControl/>
              <w:adjustRightInd w:val="0"/>
              <w:snapToGrid w:val="0"/>
              <w:ind w:left="90" w:right="92"/>
              <w:rPr>
                <w:snapToGrid w:val="0"/>
                <w:sz w:val="20"/>
                <w:szCs w:val="20"/>
                <w:lang w:val="da-DK"/>
              </w:rPr>
            </w:pPr>
          </w:p>
          <w:p w14:paraId="38C82BDE" w14:textId="71237F9B" w:rsidR="00667130" w:rsidRPr="001278B6" w:rsidRDefault="00667130" w:rsidP="001278B6">
            <w:pPr>
              <w:pStyle w:val="TableParagraph"/>
              <w:widowControl/>
              <w:adjustRightInd w:val="0"/>
              <w:snapToGrid w:val="0"/>
              <w:ind w:left="90" w:right="92"/>
              <w:rPr>
                <w:snapToGrid w:val="0"/>
                <w:sz w:val="20"/>
                <w:szCs w:val="20"/>
                <w:lang w:val="da-DK"/>
              </w:rPr>
            </w:pPr>
            <w:r w:rsidRPr="00667130">
              <w:rPr>
                <w:snapToGrid w:val="0"/>
                <w:sz w:val="20"/>
                <w:szCs w:val="20"/>
                <w:lang w:val="da-DK"/>
              </w:rPr>
              <w:t>Anafylaktisk shock (sjælden) (se også pkt. 4.4)</w:t>
            </w:r>
          </w:p>
        </w:tc>
      </w:tr>
      <w:tr w:rsidR="003563EF" w:rsidRPr="00747393" w14:paraId="7E5B8947" w14:textId="77777777" w:rsidTr="001278B6">
        <w:tc>
          <w:tcPr>
            <w:tcW w:w="2417" w:type="dxa"/>
            <w:tcBorders>
              <w:top w:val="single" w:sz="4" w:space="0" w:color="000000"/>
            </w:tcBorders>
          </w:tcPr>
          <w:p w14:paraId="43576BF0"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Nervesystemet</w:t>
            </w:r>
          </w:p>
        </w:tc>
        <w:tc>
          <w:tcPr>
            <w:tcW w:w="6679" w:type="dxa"/>
            <w:tcBorders>
              <w:top w:val="single" w:sz="4" w:space="0" w:color="000000"/>
            </w:tcBorders>
          </w:tcPr>
          <w:p w14:paraId="0BD4B593" w14:textId="77777777" w:rsidR="003563EF" w:rsidRDefault="00473235">
            <w:pPr>
              <w:pStyle w:val="TableParagraph"/>
              <w:widowControl/>
              <w:adjustRightInd w:val="0"/>
              <w:snapToGrid w:val="0"/>
              <w:ind w:left="90" w:right="92"/>
              <w:rPr>
                <w:snapToGrid w:val="0"/>
                <w:sz w:val="20"/>
                <w:szCs w:val="20"/>
                <w:lang w:val="da-DK"/>
              </w:rPr>
            </w:pPr>
            <w:r w:rsidRPr="001278B6">
              <w:rPr>
                <w:snapToGrid w:val="0"/>
                <w:sz w:val="20"/>
                <w:szCs w:val="20"/>
                <w:lang w:val="da-DK"/>
              </w:rPr>
              <w:t>Hypertensiv encefalopati (meget sjælden) (se også pkt. 4.4 og</w:t>
            </w:r>
            <w:r w:rsidR="008C3237">
              <w:rPr>
                <w:snapToGrid w:val="0"/>
                <w:sz w:val="20"/>
                <w:szCs w:val="20"/>
                <w:lang w:val="da-DK"/>
              </w:rPr>
              <w:t xml:space="preserve"> </w:t>
            </w:r>
            <w:r w:rsidRPr="00F466A3">
              <w:rPr>
                <w:i/>
                <w:snapToGrid w:val="0"/>
                <w:sz w:val="20"/>
                <w:szCs w:val="20"/>
                <w:u w:val="single"/>
                <w:lang w:val="da-DK"/>
              </w:rPr>
              <w:t>Hypertension</w:t>
            </w:r>
            <w:r w:rsidRPr="001278B6">
              <w:rPr>
                <w:i/>
                <w:snapToGrid w:val="0"/>
                <w:sz w:val="20"/>
                <w:szCs w:val="20"/>
                <w:lang w:val="da-DK"/>
              </w:rPr>
              <w:t xml:space="preserve"> </w:t>
            </w:r>
            <w:r w:rsidRPr="001278B6">
              <w:rPr>
                <w:snapToGrid w:val="0"/>
                <w:sz w:val="20"/>
                <w:szCs w:val="20"/>
                <w:lang w:val="da-DK"/>
              </w:rPr>
              <w:t>i pkt.</w:t>
            </w:r>
            <w:r w:rsidR="008C3237">
              <w:rPr>
                <w:snapToGrid w:val="0"/>
                <w:sz w:val="20"/>
                <w:szCs w:val="20"/>
                <w:lang w:val="da-DK"/>
              </w:rPr>
              <w:t> </w:t>
            </w:r>
            <w:r w:rsidRPr="001278B6">
              <w:rPr>
                <w:snapToGrid w:val="0"/>
                <w:sz w:val="20"/>
                <w:szCs w:val="20"/>
                <w:lang w:val="da-DK"/>
              </w:rPr>
              <w:t>4.8)</w:t>
            </w:r>
          </w:p>
          <w:p w14:paraId="7A4684A4"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Posteriort reversibelt encefalopati</w:t>
            </w:r>
            <w:r w:rsidR="004B3750">
              <w:rPr>
                <w:snapToGrid w:val="0"/>
                <w:sz w:val="20"/>
                <w:szCs w:val="20"/>
                <w:lang w:val="da-DK"/>
              </w:rPr>
              <w:noBreakHyphen/>
            </w:r>
            <w:r w:rsidRPr="001278B6">
              <w:rPr>
                <w:snapToGrid w:val="0"/>
                <w:sz w:val="20"/>
                <w:szCs w:val="20"/>
                <w:lang w:val="da-DK"/>
              </w:rPr>
              <w:t>syndrom (PRES) (sjælden) (se også pkt. 4.4)</w:t>
            </w:r>
          </w:p>
        </w:tc>
      </w:tr>
      <w:tr w:rsidR="003563EF" w:rsidRPr="00747393" w14:paraId="4A22B053" w14:textId="77777777" w:rsidTr="001278B6">
        <w:tc>
          <w:tcPr>
            <w:tcW w:w="2417" w:type="dxa"/>
          </w:tcPr>
          <w:p w14:paraId="18AE52D2"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Vaskulære sygdomme</w:t>
            </w:r>
          </w:p>
        </w:tc>
        <w:tc>
          <w:tcPr>
            <w:tcW w:w="6679" w:type="dxa"/>
          </w:tcPr>
          <w:p w14:paraId="72ABF6A9"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 xml:space="preserve">Renal trombotisk mikroangiopati, som kan manifestere sig som proteinuri (ikke kendt) med eller uden samtidig anvendelse af sunitinib. For yderligere information om proteinuri se pkt. 4.4 og </w:t>
            </w:r>
            <w:r w:rsidRPr="00F466A3">
              <w:rPr>
                <w:i/>
                <w:snapToGrid w:val="0"/>
                <w:sz w:val="20"/>
                <w:szCs w:val="20"/>
                <w:u w:val="single"/>
                <w:lang w:val="da-DK"/>
              </w:rPr>
              <w:t>Proteinuri</w:t>
            </w:r>
            <w:r w:rsidRPr="001278B6">
              <w:rPr>
                <w:i/>
                <w:snapToGrid w:val="0"/>
                <w:sz w:val="20"/>
                <w:szCs w:val="20"/>
                <w:lang w:val="da-DK"/>
              </w:rPr>
              <w:t xml:space="preserve"> </w:t>
            </w:r>
            <w:r w:rsidRPr="001278B6">
              <w:rPr>
                <w:snapToGrid w:val="0"/>
                <w:sz w:val="20"/>
                <w:szCs w:val="20"/>
                <w:lang w:val="da-DK"/>
              </w:rPr>
              <w:t>i pkt. 4.8</w:t>
            </w:r>
          </w:p>
        </w:tc>
      </w:tr>
      <w:tr w:rsidR="003563EF" w:rsidRPr="007E69C7" w14:paraId="475BF8FA" w14:textId="77777777" w:rsidTr="001278B6">
        <w:tc>
          <w:tcPr>
            <w:tcW w:w="2417" w:type="dxa"/>
            <w:tcBorders>
              <w:bottom w:val="single" w:sz="4" w:space="0" w:color="000000"/>
            </w:tcBorders>
          </w:tcPr>
          <w:p w14:paraId="2FD32E9B"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Luftveje, thorax og mediastinum</w:t>
            </w:r>
          </w:p>
        </w:tc>
        <w:tc>
          <w:tcPr>
            <w:tcW w:w="6679" w:type="dxa"/>
            <w:tcBorders>
              <w:bottom w:val="single" w:sz="4" w:space="0" w:color="000000"/>
            </w:tcBorders>
          </w:tcPr>
          <w:p w14:paraId="09A62EBF" w14:textId="18004B24" w:rsidR="003563EF" w:rsidRPr="001278B6" w:rsidRDefault="00473235" w:rsidP="00A769A8">
            <w:pPr>
              <w:pStyle w:val="TableParagraph"/>
              <w:widowControl/>
              <w:adjustRightInd w:val="0"/>
              <w:snapToGrid w:val="0"/>
              <w:ind w:left="90" w:right="92"/>
              <w:rPr>
                <w:snapToGrid w:val="0"/>
                <w:sz w:val="20"/>
                <w:szCs w:val="20"/>
                <w:lang w:val="da-DK"/>
              </w:rPr>
            </w:pPr>
            <w:r w:rsidRPr="001278B6">
              <w:rPr>
                <w:snapToGrid w:val="0"/>
                <w:sz w:val="20"/>
                <w:szCs w:val="20"/>
                <w:lang w:val="da-DK"/>
              </w:rPr>
              <w:t>Nasal septumperforation (ikke kendt)</w:t>
            </w:r>
            <w:r w:rsidR="00A769A8">
              <w:rPr>
                <w:snapToGrid w:val="0"/>
                <w:sz w:val="20"/>
                <w:szCs w:val="20"/>
                <w:lang w:val="da-DK"/>
              </w:rPr>
              <w:t>, p</w:t>
            </w:r>
            <w:r w:rsidRPr="001278B6">
              <w:rPr>
                <w:snapToGrid w:val="0"/>
                <w:sz w:val="20"/>
                <w:szCs w:val="20"/>
                <w:lang w:val="da-DK"/>
              </w:rPr>
              <w:t>ulmonal hypertension (ikke kendt)</w:t>
            </w:r>
            <w:r w:rsidR="00A769A8">
              <w:rPr>
                <w:snapToGrid w:val="0"/>
                <w:sz w:val="20"/>
                <w:szCs w:val="20"/>
                <w:lang w:val="da-DK"/>
              </w:rPr>
              <w:t>, d</w:t>
            </w:r>
            <w:r w:rsidRPr="001278B6">
              <w:rPr>
                <w:snapToGrid w:val="0"/>
                <w:sz w:val="20"/>
                <w:szCs w:val="20"/>
                <w:lang w:val="da-DK"/>
              </w:rPr>
              <w:t>ysfoni (almindelig)</w:t>
            </w:r>
          </w:p>
        </w:tc>
      </w:tr>
      <w:tr w:rsidR="003563EF" w:rsidRPr="005476B6" w14:paraId="10DAA4EF" w14:textId="77777777" w:rsidTr="001278B6">
        <w:tc>
          <w:tcPr>
            <w:tcW w:w="2417" w:type="dxa"/>
            <w:tcBorders>
              <w:top w:val="single" w:sz="4" w:space="0" w:color="000000"/>
              <w:left w:val="single" w:sz="4" w:space="0" w:color="000000"/>
              <w:bottom w:val="single" w:sz="4" w:space="0" w:color="000000"/>
            </w:tcBorders>
          </w:tcPr>
          <w:p w14:paraId="2E6B7360"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Mave</w:t>
            </w:r>
            <w:r w:rsidR="004B3750">
              <w:rPr>
                <w:i/>
                <w:snapToGrid w:val="0"/>
                <w:sz w:val="20"/>
                <w:szCs w:val="20"/>
                <w:lang w:val="da-DK"/>
              </w:rPr>
              <w:noBreakHyphen/>
            </w:r>
            <w:r w:rsidRPr="001278B6">
              <w:rPr>
                <w:i/>
                <w:snapToGrid w:val="0"/>
                <w:sz w:val="20"/>
                <w:szCs w:val="20"/>
                <w:lang w:val="da-DK"/>
              </w:rPr>
              <w:t>tarmkanalen</w:t>
            </w:r>
          </w:p>
        </w:tc>
        <w:tc>
          <w:tcPr>
            <w:tcW w:w="6679" w:type="dxa"/>
            <w:tcBorders>
              <w:top w:val="single" w:sz="4" w:space="0" w:color="000000"/>
              <w:bottom w:val="single" w:sz="4" w:space="0" w:color="000000"/>
              <w:right w:val="single" w:sz="4" w:space="0" w:color="000000"/>
            </w:tcBorders>
          </w:tcPr>
          <w:p w14:paraId="6B35FA92"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Gastrointestinalt ulcus (ikke kendt)</w:t>
            </w:r>
          </w:p>
        </w:tc>
      </w:tr>
      <w:tr w:rsidR="003563EF" w:rsidRPr="005476B6" w14:paraId="34A55515" w14:textId="77777777" w:rsidTr="001278B6">
        <w:tc>
          <w:tcPr>
            <w:tcW w:w="2417" w:type="dxa"/>
            <w:tcBorders>
              <w:top w:val="single" w:sz="4" w:space="0" w:color="000000"/>
              <w:left w:val="single" w:sz="4" w:space="0" w:color="000000"/>
              <w:bottom w:val="single" w:sz="4" w:space="0" w:color="000000"/>
            </w:tcBorders>
          </w:tcPr>
          <w:p w14:paraId="2EF61BE6"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Lever og galdeveje</w:t>
            </w:r>
          </w:p>
        </w:tc>
        <w:tc>
          <w:tcPr>
            <w:tcW w:w="6679" w:type="dxa"/>
            <w:tcBorders>
              <w:top w:val="single" w:sz="4" w:space="0" w:color="000000"/>
              <w:bottom w:val="single" w:sz="4" w:space="0" w:color="000000"/>
              <w:right w:val="single" w:sz="4" w:space="0" w:color="000000"/>
            </w:tcBorders>
          </w:tcPr>
          <w:p w14:paraId="32990D70"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Galdeblæreperforation (ikke kendt)</w:t>
            </w:r>
          </w:p>
        </w:tc>
      </w:tr>
      <w:tr w:rsidR="003563EF" w:rsidRPr="00747393" w14:paraId="358B8BCD" w14:textId="77777777" w:rsidTr="001278B6">
        <w:tc>
          <w:tcPr>
            <w:tcW w:w="2417" w:type="dxa"/>
            <w:vMerge w:val="restart"/>
            <w:tcBorders>
              <w:top w:val="single" w:sz="4" w:space="0" w:color="000000"/>
              <w:left w:val="single" w:sz="4" w:space="0" w:color="000000"/>
              <w:bottom w:val="single" w:sz="4" w:space="0" w:color="000000"/>
            </w:tcBorders>
          </w:tcPr>
          <w:p w14:paraId="45BDE6D6"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Knogler, led, muskler og bindevæv</w:t>
            </w:r>
          </w:p>
        </w:tc>
        <w:tc>
          <w:tcPr>
            <w:tcW w:w="6679" w:type="dxa"/>
            <w:tcBorders>
              <w:top w:val="single" w:sz="4" w:space="0" w:color="000000"/>
              <w:bottom w:val="single" w:sz="4" w:space="0" w:color="000000"/>
              <w:right w:val="single" w:sz="4" w:space="0" w:color="000000"/>
            </w:tcBorders>
          </w:tcPr>
          <w:p w14:paraId="214D8246"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 xml:space="preserve">Tilfælde af osteonekrose af kæben (ONJ) er blevet rapporteret hos patienter behandlet med </w:t>
            </w:r>
            <w:r w:rsidR="00441ECB">
              <w:rPr>
                <w:snapToGrid w:val="0"/>
                <w:sz w:val="20"/>
                <w:szCs w:val="20"/>
                <w:lang w:val="da-DK"/>
              </w:rPr>
              <w:t>bevacizumab</w:t>
            </w:r>
            <w:r w:rsidRPr="001278B6">
              <w:rPr>
                <w:snapToGrid w:val="0"/>
                <w:sz w:val="20"/>
                <w:szCs w:val="20"/>
                <w:lang w:val="da-DK"/>
              </w:rPr>
              <w:t>, hvoraf de fleste tilfælde forekom hos patienter, der havde kendte risikofaktorer for ONJ, navnlig eksponering for intravenøse bisfosfonater og/eller en anamnese med tandsygdomme, som krævede invasive tandprocedurer (se også pkt.</w:t>
            </w:r>
            <w:r w:rsidR="00652997">
              <w:rPr>
                <w:snapToGrid w:val="0"/>
                <w:sz w:val="20"/>
                <w:szCs w:val="20"/>
                <w:lang w:val="da-DK"/>
              </w:rPr>
              <w:t xml:space="preserve"> </w:t>
            </w:r>
            <w:r w:rsidRPr="001278B6">
              <w:rPr>
                <w:snapToGrid w:val="0"/>
                <w:sz w:val="20"/>
                <w:szCs w:val="20"/>
                <w:lang w:val="da-DK"/>
              </w:rPr>
              <w:t>4.4)</w:t>
            </w:r>
          </w:p>
        </w:tc>
      </w:tr>
      <w:tr w:rsidR="003563EF" w:rsidRPr="007E69C7" w14:paraId="72811B25" w14:textId="77777777" w:rsidTr="001278B6">
        <w:tc>
          <w:tcPr>
            <w:tcW w:w="2417" w:type="dxa"/>
            <w:vMerge/>
            <w:tcBorders>
              <w:top w:val="nil"/>
              <w:left w:val="single" w:sz="4" w:space="0" w:color="000000"/>
              <w:bottom w:val="single" w:sz="4" w:space="0" w:color="000000"/>
            </w:tcBorders>
          </w:tcPr>
          <w:p w14:paraId="457EFF2E" w14:textId="77777777" w:rsidR="003563EF" w:rsidRPr="001278B6" w:rsidRDefault="003563EF" w:rsidP="001278B6">
            <w:pPr>
              <w:widowControl/>
              <w:adjustRightInd w:val="0"/>
              <w:snapToGrid w:val="0"/>
              <w:jc w:val="center"/>
              <w:rPr>
                <w:snapToGrid w:val="0"/>
                <w:sz w:val="20"/>
                <w:szCs w:val="20"/>
                <w:lang w:val="da-DK"/>
              </w:rPr>
            </w:pPr>
          </w:p>
        </w:tc>
        <w:tc>
          <w:tcPr>
            <w:tcW w:w="6679" w:type="dxa"/>
            <w:tcBorders>
              <w:top w:val="single" w:sz="4" w:space="0" w:color="000000"/>
              <w:bottom w:val="single" w:sz="4" w:space="0" w:color="000000"/>
              <w:right w:val="single" w:sz="4" w:space="0" w:color="000000"/>
            </w:tcBorders>
          </w:tcPr>
          <w:p w14:paraId="34105B08" w14:textId="247FD88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Tilfælde af ikke</w:t>
            </w:r>
            <w:r w:rsidR="004B3750">
              <w:rPr>
                <w:snapToGrid w:val="0"/>
                <w:sz w:val="20"/>
                <w:szCs w:val="20"/>
                <w:lang w:val="da-DK"/>
              </w:rPr>
              <w:noBreakHyphen/>
            </w:r>
            <w:r w:rsidRPr="001278B6">
              <w:rPr>
                <w:snapToGrid w:val="0"/>
                <w:sz w:val="20"/>
                <w:szCs w:val="20"/>
                <w:lang w:val="da-DK"/>
              </w:rPr>
              <w:t xml:space="preserve">mandibulær osteonekrose er blevet observeret hos pædiatriske patienter behandlet med </w:t>
            </w:r>
            <w:r w:rsidR="00441ECB">
              <w:rPr>
                <w:snapToGrid w:val="0"/>
                <w:sz w:val="20"/>
                <w:szCs w:val="20"/>
                <w:lang w:val="da-DK"/>
              </w:rPr>
              <w:t>bevacizumab</w:t>
            </w:r>
            <w:r w:rsidRPr="001278B6">
              <w:rPr>
                <w:snapToGrid w:val="0"/>
                <w:sz w:val="20"/>
                <w:szCs w:val="20"/>
                <w:lang w:val="da-DK"/>
              </w:rPr>
              <w:t xml:space="preserve"> (se afsnittet </w:t>
            </w:r>
            <w:r w:rsidRPr="00F466A3">
              <w:rPr>
                <w:i/>
                <w:iCs/>
                <w:snapToGrid w:val="0"/>
                <w:sz w:val="20"/>
                <w:szCs w:val="20"/>
                <w:u w:val="single"/>
                <w:lang w:val="da-DK"/>
              </w:rPr>
              <w:t>pædiatrisk population</w:t>
            </w:r>
            <w:r w:rsidRPr="001278B6">
              <w:rPr>
                <w:snapToGrid w:val="0"/>
                <w:sz w:val="20"/>
                <w:szCs w:val="20"/>
                <w:lang w:val="da-DK"/>
              </w:rPr>
              <w:t xml:space="preserve"> ovenfor i dette pkt. 4.8)</w:t>
            </w:r>
          </w:p>
        </w:tc>
      </w:tr>
      <w:tr w:rsidR="003563EF" w:rsidRPr="007E69C7" w14:paraId="28703C74" w14:textId="77777777" w:rsidTr="001278B6">
        <w:tc>
          <w:tcPr>
            <w:tcW w:w="2417" w:type="dxa"/>
            <w:tcBorders>
              <w:top w:val="single" w:sz="4" w:space="0" w:color="000000"/>
              <w:left w:val="single" w:sz="4" w:space="0" w:color="000000"/>
              <w:bottom w:val="single" w:sz="4" w:space="0" w:color="000000"/>
            </w:tcBorders>
          </w:tcPr>
          <w:p w14:paraId="5DFB4117" w14:textId="77777777" w:rsidR="003563EF" w:rsidRPr="001278B6" w:rsidRDefault="00473235" w:rsidP="001278B6">
            <w:pPr>
              <w:pStyle w:val="TableParagraph"/>
              <w:widowControl/>
              <w:adjustRightInd w:val="0"/>
              <w:snapToGrid w:val="0"/>
              <w:jc w:val="center"/>
              <w:rPr>
                <w:i/>
                <w:snapToGrid w:val="0"/>
                <w:sz w:val="20"/>
                <w:szCs w:val="20"/>
                <w:lang w:val="da-DK"/>
              </w:rPr>
            </w:pPr>
            <w:r w:rsidRPr="001278B6">
              <w:rPr>
                <w:i/>
                <w:snapToGrid w:val="0"/>
                <w:sz w:val="20"/>
                <w:szCs w:val="20"/>
                <w:lang w:val="da-DK"/>
              </w:rPr>
              <w:t>Medfødte, familiære og genetiske sygdomme</w:t>
            </w:r>
          </w:p>
        </w:tc>
        <w:tc>
          <w:tcPr>
            <w:tcW w:w="6679" w:type="dxa"/>
            <w:tcBorders>
              <w:top w:val="single" w:sz="4" w:space="0" w:color="000000"/>
              <w:bottom w:val="single" w:sz="4" w:space="0" w:color="000000"/>
              <w:right w:val="single" w:sz="4" w:space="0" w:color="000000"/>
            </w:tcBorders>
          </w:tcPr>
          <w:p w14:paraId="0AFD09DE" w14:textId="77777777" w:rsidR="003563EF" w:rsidRPr="001278B6" w:rsidRDefault="00473235" w:rsidP="001278B6">
            <w:pPr>
              <w:pStyle w:val="TableParagraph"/>
              <w:widowControl/>
              <w:adjustRightInd w:val="0"/>
              <w:snapToGrid w:val="0"/>
              <w:ind w:left="90" w:right="92"/>
              <w:rPr>
                <w:snapToGrid w:val="0"/>
                <w:sz w:val="20"/>
                <w:szCs w:val="20"/>
                <w:lang w:val="da-DK"/>
              </w:rPr>
            </w:pPr>
            <w:r w:rsidRPr="001278B6">
              <w:rPr>
                <w:snapToGrid w:val="0"/>
                <w:sz w:val="20"/>
                <w:szCs w:val="20"/>
                <w:lang w:val="da-DK"/>
              </w:rPr>
              <w:t>Der er observeret tilfælde af anormaliteter hos fostre, hvor moderen er blevet behandlet med bevacizumab alene eller i kombination med kemoterapeutika med kendt embryotoksicitet (se pkt. 4.6).</w:t>
            </w:r>
          </w:p>
        </w:tc>
      </w:tr>
    </w:tbl>
    <w:p w14:paraId="74CBE775" w14:textId="77777777" w:rsidR="003563EF" w:rsidRPr="001278B6" w:rsidRDefault="00473235" w:rsidP="001278B6">
      <w:pPr>
        <w:widowControl/>
        <w:adjustRightInd w:val="0"/>
        <w:snapToGrid w:val="0"/>
        <w:rPr>
          <w:snapToGrid w:val="0"/>
          <w:lang w:val="da-DK"/>
        </w:rPr>
      </w:pPr>
      <w:r w:rsidRPr="001278B6">
        <w:rPr>
          <w:snapToGrid w:val="0"/>
          <w:sz w:val="18"/>
          <w:szCs w:val="18"/>
          <w:lang w:val="da-DK"/>
        </w:rPr>
        <w:t>*</w:t>
      </w:r>
      <w:r w:rsidR="006F6127">
        <w:rPr>
          <w:snapToGrid w:val="0"/>
          <w:sz w:val="18"/>
          <w:szCs w:val="18"/>
          <w:lang w:val="da-DK"/>
        </w:rPr>
        <w:t xml:space="preserve"> </w:t>
      </w:r>
      <w:r w:rsidRPr="001278B6">
        <w:rPr>
          <w:snapToGrid w:val="0"/>
          <w:sz w:val="18"/>
          <w:szCs w:val="18"/>
          <w:lang w:val="da-DK"/>
        </w:rPr>
        <w:t>Hvis frekvens angives, er den udledt af data fra kliniske studier</w:t>
      </w:r>
    </w:p>
    <w:p w14:paraId="4D7B71FB" w14:textId="77777777" w:rsidR="0079124A" w:rsidRPr="001278B6" w:rsidRDefault="0079124A" w:rsidP="001278B6">
      <w:pPr>
        <w:widowControl/>
        <w:adjustRightInd w:val="0"/>
        <w:snapToGrid w:val="0"/>
        <w:rPr>
          <w:snapToGrid w:val="0"/>
          <w:lang w:val="da-DK"/>
        </w:rPr>
      </w:pPr>
    </w:p>
    <w:p w14:paraId="13D09B67"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Indberetning af formodede bivirkninger</w:t>
      </w:r>
    </w:p>
    <w:p w14:paraId="44E68380" w14:textId="77777777" w:rsidR="003563EF" w:rsidRPr="001278B6" w:rsidRDefault="00473235" w:rsidP="001278B6">
      <w:pPr>
        <w:pStyle w:val="a3"/>
        <w:widowControl/>
        <w:adjustRightInd w:val="0"/>
        <w:snapToGrid w:val="0"/>
        <w:rPr>
          <w:snapToGrid w:val="0"/>
          <w:lang w:val="da-DK"/>
        </w:rPr>
      </w:pPr>
      <w:r w:rsidRPr="001278B6">
        <w:rPr>
          <w:snapToGrid w:val="0"/>
          <w:lang w:val="da-DK"/>
        </w:rPr>
        <w:t>Når lægemidlet er godkendt, er indberetning af formodede bivirkninger vigtig. Det muliggør løbende overvågning af benefit/risk</w:t>
      </w:r>
      <w:r w:rsidR="004B3750">
        <w:rPr>
          <w:snapToGrid w:val="0"/>
          <w:lang w:val="da-DK"/>
        </w:rPr>
        <w:noBreakHyphen/>
      </w:r>
      <w:r w:rsidRPr="001278B6">
        <w:rPr>
          <w:snapToGrid w:val="0"/>
          <w:lang w:val="da-DK"/>
        </w:rPr>
        <w:t xml:space="preserve">forholdet for lægemidlet. Sundhedspersoner anmodes om at indberette alle formodede bivirkninger via </w:t>
      </w:r>
      <w:r w:rsidRPr="001278B6">
        <w:rPr>
          <w:snapToGrid w:val="0"/>
          <w:color w:val="000000"/>
          <w:shd w:val="clear" w:color="auto" w:fill="D4D4D4"/>
          <w:lang w:val="da-DK"/>
        </w:rPr>
        <w:t xml:space="preserve">det nationale rapporteringssystem anført i </w:t>
      </w:r>
      <w:hyperlink r:id="rId13">
        <w:r w:rsidRPr="001278B6">
          <w:rPr>
            <w:snapToGrid w:val="0"/>
            <w:color w:val="0000FF"/>
            <w:u w:val="single" w:color="0000FF"/>
            <w:shd w:val="clear" w:color="auto" w:fill="D4D4D4"/>
            <w:lang w:val="da-DK"/>
          </w:rPr>
          <w:t>Appendiks V</w:t>
        </w:r>
      </w:hyperlink>
      <w:r w:rsidRPr="001278B6">
        <w:rPr>
          <w:snapToGrid w:val="0"/>
          <w:color w:val="000000"/>
          <w:lang w:val="da-DK"/>
        </w:rPr>
        <w:t>.</w:t>
      </w:r>
    </w:p>
    <w:p w14:paraId="5A4FB178" w14:textId="77777777" w:rsidR="003563EF" w:rsidRPr="001278B6" w:rsidRDefault="003563EF" w:rsidP="001278B6">
      <w:pPr>
        <w:pStyle w:val="a3"/>
        <w:widowControl/>
        <w:adjustRightInd w:val="0"/>
        <w:snapToGrid w:val="0"/>
        <w:rPr>
          <w:snapToGrid w:val="0"/>
          <w:lang w:val="da-DK"/>
        </w:rPr>
      </w:pPr>
    </w:p>
    <w:p w14:paraId="3E583EFB"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Overdosering</w:t>
      </w:r>
    </w:p>
    <w:p w14:paraId="5A74FCB9" w14:textId="77777777" w:rsidR="003563EF" w:rsidRPr="001278B6" w:rsidRDefault="003563EF" w:rsidP="001278B6">
      <w:pPr>
        <w:pStyle w:val="a3"/>
        <w:keepNext/>
        <w:keepLines/>
        <w:widowControl/>
        <w:adjustRightInd w:val="0"/>
        <w:snapToGrid w:val="0"/>
        <w:rPr>
          <w:b/>
          <w:snapToGrid w:val="0"/>
          <w:lang w:val="da-DK"/>
        </w:rPr>
      </w:pPr>
    </w:p>
    <w:p w14:paraId="5510215E" w14:textId="77777777" w:rsidR="003563EF" w:rsidRPr="001278B6" w:rsidRDefault="00473235" w:rsidP="001278B6">
      <w:pPr>
        <w:pStyle w:val="a3"/>
        <w:widowControl/>
        <w:adjustRightInd w:val="0"/>
        <w:snapToGrid w:val="0"/>
        <w:rPr>
          <w:snapToGrid w:val="0"/>
          <w:lang w:val="da-DK"/>
        </w:rPr>
      </w:pPr>
      <w:r w:rsidRPr="001278B6">
        <w:rPr>
          <w:snapToGrid w:val="0"/>
          <w:lang w:val="da-DK"/>
        </w:rPr>
        <w:t>Den højeste dosis, som blev afprøvet på mennesker (20</w:t>
      </w:r>
      <w:r w:rsidR="00BE5FF6">
        <w:rPr>
          <w:snapToGrid w:val="0"/>
          <w:lang w:val="da-DK"/>
        </w:rPr>
        <w:t> mg</w:t>
      </w:r>
      <w:r w:rsidRPr="001278B6">
        <w:rPr>
          <w:snapToGrid w:val="0"/>
          <w:lang w:val="da-DK"/>
        </w:rPr>
        <w:t>/kg legemsvægt, intravenøst hver 14. dag), var forbundet med svær migræne hos flere patienter.</w:t>
      </w:r>
    </w:p>
    <w:p w14:paraId="66DCFD05" w14:textId="77777777" w:rsidR="003563EF" w:rsidRPr="001278B6" w:rsidRDefault="003563EF" w:rsidP="001278B6">
      <w:pPr>
        <w:pStyle w:val="a3"/>
        <w:widowControl/>
        <w:adjustRightInd w:val="0"/>
        <w:snapToGrid w:val="0"/>
        <w:rPr>
          <w:snapToGrid w:val="0"/>
          <w:lang w:val="da-DK"/>
        </w:rPr>
      </w:pPr>
    </w:p>
    <w:p w14:paraId="46E39BE8" w14:textId="77777777" w:rsidR="003563EF" w:rsidRPr="001278B6" w:rsidRDefault="003563EF" w:rsidP="001278B6">
      <w:pPr>
        <w:pStyle w:val="a3"/>
        <w:widowControl/>
        <w:adjustRightInd w:val="0"/>
        <w:snapToGrid w:val="0"/>
        <w:rPr>
          <w:snapToGrid w:val="0"/>
          <w:lang w:val="da-DK"/>
        </w:rPr>
      </w:pPr>
    </w:p>
    <w:p w14:paraId="24E0ED1F" w14:textId="77777777" w:rsidR="003563EF" w:rsidRPr="001278B6" w:rsidRDefault="00473235" w:rsidP="001278B6">
      <w:pPr>
        <w:pStyle w:val="1"/>
        <w:keepNext/>
        <w:keepLines/>
        <w:widowControl/>
        <w:numPr>
          <w:ilvl w:val="0"/>
          <w:numId w:val="17"/>
        </w:numPr>
        <w:adjustRightInd w:val="0"/>
        <w:snapToGrid w:val="0"/>
        <w:ind w:left="0" w:firstLine="0"/>
        <w:rPr>
          <w:snapToGrid w:val="0"/>
          <w:lang w:val="da-DK"/>
        </w:rPr>
      </w:pPr>
      <w:r w:rsidRPr="001278B6">
        <w:rPr>
          <w:snapToGrid w:val="0"/>
          <w:lang w:val="da-DK"/>
        </w:rPr>
        <w:t>FARMAKOLOGISKE EGENSKABER</w:t>
      </w:r>
    </w:p>
    <w:p w14:paraId="63F58FEF" w14:textId="77777777" w:rsidR="003563EF" w:rsidRPr="001278B6" w:rsidRDefault="003563EF" w:rsidP="001278B6">
      <w:pPr>
        <w:pStyle w:val="a3"/>
        <w:keepNext/>
        <w:keepLines/>
        <w:widowControl/>
        <w:adjustRightInd w:val="0"/>
        <w:snapToGrid w:val="0"/>
        <w:rPr>
          <w:b/>
          <w:snapToGrid w:val="0"/>
          <w:lang w:val="da-DK"/>
        </w:rPr>
      </w:pPr>
    </w:p>
    <w:p w14:paraId="5E9F9D36"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Farmakodynamiske egenskaber</w:t>
      </w:r>
    </w:p>
    <w:p w14:paraId="2C5F1535" w14:textId="77777777" w:rsidR="003563EF" w:rsidRPr="001278B6" w:rsidRDefault="003563EF" w:rsidP="001278B6">
      <w:pPr>
        <w:pStyle w:val="a3"/>
        <w:keepNext/>
        <w:keepLines/>
        <w:widowControl/>
        <w:adjustRightInd w:val="0"/>
        <w:snapToGrid w:val="0"/>
        <w:rPr>
          <w:b/>
          <w:snapToGrid w:val="0"/>
          <w:lang w:val="da-DK"/>
        </w:rPr>
      </w:pPr>
    </w:p>
    <w:p w14:paraId="56BD5E01" w14:textId="5563FE3B" w:rsidR="003563EF" w:rsidRDefault="00473235" w:rsidP="001278B6">
      <w:pPr>
        <w:pStyle w:val="a3"/>
        <w:widowControl/>
        <w:adjustRightInd w:val="0"/>
        <w:snapToGrid w:val="0"/>
        <w:rPr>
          <w:snapToGrid w:val="0"/>
          <w:lang w:val="da-DK"/>
        </w:rPr>
      </w:pPr>
      <w:r w:rsidRPr="001278B6">
        <w:rPr>
          <w:snapToGrid w:val="0"/>
          <w:lang w:val="da-DK"/>
        </w:rPr>
        <w:t>Farmakoterapeutisk klassifikation: Antineoplastiske og immunmodulerende midler, antineoplastiske midler, monoklonale antistoffer</w:t>
      </w:r>
      <w:r w:rsidR="004B6649">
        <w:rPr>
          <w:rFonts w:eastAsia="맑은 고딕" w:hint="eastAsia"/>
          <w:snapToGrid w:val="0"/>
          <w:lang w:val="da-DK" w:eastAsia="ko-KR"/>
        </w:rPr>
        <w:t xml:space="preserve"> </w:t>
      </w:r>
      <w:r w:rsidR="004B6649" w:rsidRPr="00455604">
        <w:rPr>
          <w:snapToGrid w:val="0"/>
          <w:lang w:val="da-DK"/>
        </w:rPr>
        <w:t>og andre antistof-lægemiddel-konjugater</w:t>
      </w:r>
      <w:r w:rsidRPr="001278B6">
        <w:rPr>
          <w:snapToGrid w:val="0"/>
          <w:lang w:val="da-DK"/>
        </w:rPr>
        <w:t>, ATC</w:t>
      </w:r>
      <w:r w:rsidR="004B3750">
        <w:rPr>
          <w:snapToGrid w:val="0"/>
          <w:lang w:val="da-DK"/>
        </w:rPr>
        <w:noBreakHyphen/>
      </w:r>
      <w:r w:rsidRPr="001278B6">
        <w:rPr>
          <w:snapToGrid w:val="0"/>
          <w:lang w:val="da-DK"/>
        </w:rPr>
        <w:t xml:space="preserve">kode: </w:t>
      </w:r>
      <w:r w:rsidR="00313016">
        <w:rPr>
          <w:snapToGrid w:val="0"/>
          <w:lang w:val="da-DK"/>
        </w:rPr>
        <w:t>L01FG01</w:t>
      </w:r>
    </w:p>
    <w:p w14:paraId="39CC3EB4" w14:textId="77777777" w:rsidR="00441ECB" w:rsidRDefault="00441ECB" w:rsidP="001278B6">
      <w:pPr>
        <w:pStyle w:val="a3"/>
        <w:widowControl/>
        <w:adjustRightInd w:val="0"/>
        <w:snapToGrid w:val="0"/>
        <w:rPr>
          <w:snapToGrid w:val="0"/>
          <w:lang w:val="da-DK"/>
        </w:rPr>
      </w:pPr>
    </w:p>
    <w:p w14:paraId="6B8E6045" w14:textId="09C2D00E" w:rsidR="00441ECB" w:rsidRPr="001278B6" w:rsidRDefault="00295FBB" w:rsidP="001278B6">
      <w:pPr>
        <w:pStyle w:val="a3"/>
        <w:widowControl/>
        <w:adjustRightInd w:val="0"/>
        <w:snapToGrid w:val="0"/>
        <w:rPr>
          <w:snapToGrid w:val="0"/>
          <w:lang w:val="da-DK"/>
        </w:rPr>
      </w:pPr>
      <w:r>
        <w:rPr>
          <w:iCs/>
          <w:snapToGrid w:val="0"/>
          <w:lang w:val="da-DK"/>
        </w:rPr>
        <w:t>Vegzelma</w:t>
      </w:r>
      <w:r w:rsidR="00441ECB">
        <w:rPr>
          <w:iCs/>
          <w:snapToGrid w:val="0"/>
          <w:lang w:val="da-DK"/>
        </w:rPr>
        <w:t xml:space="preserve"> er et </w:t>
      </w:r>
      <w:r w:rsidR="00C73E03">
        <w:rPr>
          <w:lang w:val="da-DK"/>
        </w:rPr>
        <w:t>biosimilært lægemiddel. Yderligere oplysninger findes på Det Europæiske Lægemiddelagenturs hjemmeside</w:t>
      </w:r>
      <w:r w:rsidR="00C73E03">
        <w:rPr>
          <w:b/>
          <w:lang w:val="da-DK"/>
        </w:rPr>
        <w:t xml:space="preserve"> </w:t>
      </w:r>
      <w:bookmarkStart w:id="2" w:name="_Hlk183096313"/>
      <w:r w:rsidR="004E318A" w:rsidRPr="009E2922">
        <w:rPr>
          <w:snapToGrid w:val="0"/>
          <w:color w:val="0000FF"/>
          <w:lang w:val="de-DE"/>
        </w:rPr>
        <w:fldChar w:fldCharType="begin"/>
      </w:r>
      <w:r w:rsidR="004E318A" w:rsidRPr="009E2922">
        <w:rPr>
          <w:snapToGrid w:val="0"/>
          <w:color w:val="0000FF"/>
          <w:lang w:val="de-DE"/>
        </w:rPr>
        <w:instrText>HYPERLINK "https://www.ema.europa.eu "</w:instrText>
      </w:r>
      <w:r w:rsidR="004E318A" w:rsidRPr="009E2922">
        <w:rPr>
          <w:snapToGrid w:val="0"/>
          <w:color w:val="0000FF"/>
          <w:lang w:val="de-DE"/>
        </w:rPr>
      </w:r>
      <w:r w:rsidR="004E318A" w:rsidRPr="009E2922">
        <w:rPr>
          <w:snapToGrid w:val="0"/>
          <w:color w:val="0000FF"/>
          <w:lang w:val="de-DE"/>
        </w:rPr>
        <w:fldChar w:fldCharType="separate"/>
      </w:r>
      <w:r w:rsidR="004E318A" w:rsidRPr="009E2922">
        <w:rPr>
          <w:rStyle w:val="ab"/>
          <w:snapToGrid w:val="0"/>
          <w:lang w:val="de-DE"/>
        </w:rPr>
        <w:t>https://www.ema.europa.eu</w:t>
      </w:r>
      <w:r w:rsidR="004E318A" w:rsidRPr="009E2922">
        <w:rPr>
          <w:snapToGrid w:val="0"/>
          <w:color w:val="0000FF"/>
          <w:lang w:val="de-DE"/>
        </w:rPr>
        <w:fldChar w:fldCharType="end"/>
      </w:r>
      <w:bookmarkEnd w:id="2"/>
      <w:r w:rsidR="00C73E03">
        <w:rPr>
          <w:color w:val="0000FF"/>
          <w:lang w:val="da-DK"/>
        </w:rPr>
        <w:t>.</w:t>
      </w:r>
    </w:p>
    <w:p w14:paraId="501031F3" w14:textId="77777777" w:rsidR="003563EF" w:rsidRPr="001278B6" w:rsidRDefault="003563EF" w:rsidP="001278B6">
      <w:pPr>
        <w:pStyle w:val="a3"/>
        <w:widowControl/>
        <w:adjustRightInd w:val="0"/>
        <w:snapToGrid w:val="0"/>
        <w:rPr>
          <w:snapToGrid w:val="0"/>
          <w:lang w:val="da-DK"/>
        </w:rPr>
      </w:pPr>
    </w:p>
    <w:p w14:paraId="18590CEC"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lastRenderedPageBreak/>
        <w:t>Virkningsmekanisme</w:t>
      </w:r>
    </w:p>
    <w:p w14:paraId="2B5184D0"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 binder til VEGF, som er den primære faktor i vaskulogenesen og angiogenesen og hæmmer derved bindingen af VEGF til dets receptorer, Flt</w:t>
      </w:r>
      <w:r w:rsidR="004B3750">
        <w:rPr>
          <w:snapToGrid w:val="0"/>
          <w:lang w:val="da-DK"/>
        </w:rPr>
        <w:noBreakHyphen/>
      </w:r>
      <w:r w:rsidRPr="001278B6">
        <w:rPr>
          <w:snapToGrid w:val="0"/>
          <w:lang w:val="da-DK"/>
        </w:rPr>
        <w:t>1 (VEGFR</w:t>
      </w:r>
      <w:r w:rsidR="004B3750">
        <w:rPr>
          <w:snapToGrid w:val="0"/>
          <w:lang w:val="da-DK"/>
        </w:rPr>
        <w:noBreakHyphen/>
      </w:r>
      <w:r w:rsidRPr="001278B6">
        <w:rPr>
          <w:snapToGrid w:val="0"/>
          <w:lang w:val="da-DK"/>
        </w:rPr>
        <w:t>1) og KDR (VEGFR</w:t>
      </w:r>
      <w:r w:rsidR="004B3750">
        <w:rPr>
          <w:snapToGrid w:val="0"/>
          <w:lang w:val="da-DK"/>
        </w:rPr>
        <w:noBreakHyphen/>
      </w:r>
      <w:r w:rsidRPr="001278B6">
        <w:rPr>
          <w:snapToGrid w:val="0"/>
          <w:lang w:val="da-DK"/>
        </w:rPr>
        <w:t>2), på overfladen af endotelceller. Neutralisering af VEGF’s biologiske aktivitet hæmmer vaskulariseringen af tumorer, normaliserer den tilbageblevne tumorvaskulatur, hæmmer dannelsen af ny tumorvaskulatur og hæmmer derved tumorvæksten.</w:t>
      </w:r>
    </w:p>
    <w:p w14:paraId="7160F98C" w14:textId="77777777" w:rsidR="003563EF" w:rsidRPr="001278B6" w:rsidRDefault="003563EF" w:rsidP="001278B6">
      <w:pPr>
        <w:pStyle w:val="a3"/>
        <w:widowControl/>
        <w:adjustRightInd w:val="0"/>
        <w:snapToGrid w:val="0"/>
        <w:rPr>
          <w:snapToGrid w:val="0"/>
          <w:lang w:val="da-DK"/>
        </w:rPr>
      </w:pPr>
    </w:p>
    <w:p w14:paraId="305275D5"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Farmakodynamiske virkninger</w:t>
      </w:r>
    </w:p>
    <w:p w14:paraId="667F3D86" w14:textId="77777777" w:rsidR="003563EF" w:rsidRPr="001278B6" w:rsidRDefault="00473235" w:rsidP="001278B6">
      <w:pPr>
        <w:pStyle w:val="a3"/>
        <w:widowControl/>
        <w:adjustRightInd w:val="0"/>
        <w:snapToGrid w:val="0"/>
        <w:rPr>
          <w:snapToGrid w:val="0"/>
          <w:lang w:val="da-DK"/>
        </w:rPr>
      </w:pPr>
      <w:r w:rsidRPr="001278B6">
        <w:rPr>
          <w:snapToGrid w:val="0"/>
          <w:lang w:val="da-DK"/>
        </w:rPr>
        <w:t>Administration af bevacizumab eller dets parenterale, murine antistof til nøgne mus i xenotransplantationsmodeller af kræft medførte omfattende anti</w:t>
      </w:r>
      <w:r w:rsidR="004B3750">
        <w:rPr>
          <w:snapToGrid w:val="0"/>
          <w:lang w:val="da-DK"/>
        </w:rPr>
        <w:noBreakHyphen/>
      </w:r>
      <w:r w:rsidRPr="001278B6">
        <w:rPr>
          <w:snapToGrid w:val="0"/>
          <w:lang w:val="da-DK"/>
        </w:rPr>
        <w:t>tumor aktivitet ved humane kræftformer, inklusive colon, mamma</w:t>
      </w:r>
      <w:r w:rsidR="004B3750">
        <w:rPr>
          <w:snapToGrid w:val="0"/>
          <w:lang w:val="da-DK"/>
        </w:rPr>
        <w:noBreakHyphen/>
      </w:r>
      <w:r w:rsidRPr="001278B6">
        <w:rPr>
          <w:snapToGrid w:val="0"/>
          <w:lang w:val="da-DK"/>
        </w:rPr>
        <w:t>, pancreas</w:t>
      </w:r>
      <w:r w:rsidR="004B3750">
        <w:rPr>
          <w:snapToGrid w:val="0"/>
          <w:lang w:val="da-DK"/>
        </w:rPr>
        <w:noBreakHyphen/>
      </w:r>
      <w:r w:rsidRPr="001278B6">
        <w:rPr>
          <w:snapToGrid w:val="0"/>
          <w:lang w:val="da-DK"/>
        </w:rPr>
        <w:t xml:space="preserve"> og prostatakræft. Progressionen af metastatisk sygdom blev hæmmet, og den mikrovaskulære permeabilitet blev nedsat.</w:t>
      </w:r>
    </w:p>
    <w:p w14:paraId="3A683305" w14:textId="77777777" w:rsidR="003563EF" w:rsidRPr="001278B6" w:rsidRDefault="003563EF" w:rsidP="001278B6">
      <w:pPr>
        <w:pStyle w:val="a3"/>
        <w:widowControl/>
        <w:adjustRightInd w:val="0"/>
        <w:snapToGrid w:val="0"/>
        <w:rPr>
          <w:snapToGrid w:val="0"/>
          <w:lang w:val="da-DK"/>
        </w:rPr>
      </w:pPr>
    </w:p>
    <w:p w14:paraId="4A7A0B86"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Klinisk effekt</w:t>
      </w:r>
    </w:p>
    <w:p w14:paraId="4719032C" w14:textId="77777777" w:rsidR="003563EF" w:rsidRPr="001278B6" w:rsidRDefault="003563EF" w:rsidP="001278B6">
      <w:pPr>
        <w:pStyle w:val="a3"/>
        <w:keepNext/>
        <w:keepLines/>
        <w:widowControl/>
        <w:adjustRightInd w:val="0"/>
        <w:snapToGrid w:val="0"/>
        <w:rPr>
          <w:snapToGrid w:val="0"/>
          <w:lang w:val="da-DK"/>
        </w:rPr>
      </w:pPr>
    </w:p>
    <w:p w14:paraId="259B939D"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Metastatisk kolorektalkræft (mCRC)</w:t>
      </w:r>
    </w:p>
    <w:p w14:paraId="5C7AC5B3" w14:textId="77777777" w:rsidR="003563EF" w:rsidRPr="001278B6" w:rsidRDefault="003563EF" w:rsidP="001278B6">
      <w:pPr>
        <w:pStyle w:val="a3"/>
        <w:keepNext/>
        <w:keepLines/>
        <w:widowControl/>
        <w:adjustRightInd w:val="0"/>
        <w:snapToGrid w:val="0"/>
        <w:rPr>
          <w:i/>
          <w:snapToGrid w:val="0"/>
          <w:lang w:val="da-DK"/>
        </w:rPr>
      </w:pPr>
    </w:p>
    <w:p w14:paraId="6CFF51CB" w14:textId="77777777" w:rsidR="003563EF" w:rsidRPr="001278B6" w:rsidRDefault="00473235" w:rsidP="001278B6">
      <w:pPr>
        <w:pStyle w:val="a3"/>
        <w:widowControl/>
        <w:adjustRightInd w:val="0"/>
        <w:snapToGrid w:val="0"/>
        <w:rPr>
          <w:snapToGrid w:val="0"/>
          <w:lang w:val="da-DK"/>
        </w:rPr>
      </w:pPr>
      <w:r w:rsidRPr="001278B6">
        <w:rPr>
          <w:snapToGrid w:val="0"/>
          <w:lang w:val="da-DK"/>
        </w:rPr>
        <w:t>Sikkerhed og effekt af den anbefalede dosis (5</w:t>
      </w:r>
      <w:r w:rsidR="00006F4F">
        <w:rPr>
          <w:snapToGrid w:val="0"/>
          <w:lang w:val="da-DK"/>
        </w:rPr>
        <w:t> mg</w:t>
      </w:r>
      <w:r w:rsidRPr="001278B6">
        <w:rPr>
          <w:snapToGrid w:val="0"/>
          <w:lang w:val="da-DK"/>
        </w:rPr>
        <w:t>/kg legemsvægt hver 2. uge) hos patienter med metastatisk kolorektalkræft blev undersøgt i tre randomiserede, aktivt kontrollerede kliniske studier i kombination med fluoropyrimidinbaseret 1.</w:t>
      </w:r>
      <w:r w:rsidR="004B3750">
        <w:rPr>
          <w:snapToGrid w:val="0"/>
          <w:lang w:val="da-DK"/>
        </w:rPr>
        <w:noBreakHyphen/>
      </w:r>
      <w:r w:rsidRPr="001278B6">
        <w:rPr>
          <w:snapToGrid w:val="0"/>
          <w:lang w:val="da-DK"/>
        </w:rPr>
        <w:t xml:space="preserve">linjekemoterapi. </w:t>
      </w:r>
      <w:r w:rsidR="00C73E03">
        <w:rPr>
          <w:snapToGrid w:val="0"/>
          <w:lang w:val="da-DK"/>
        </w:rPr>
        <w:t>Bevacizumab</w:t>
      </w:r>
      <w:r w:rsidRPr="001278B6">
        <w:rPr>
          <w:snapToGrid w:val="0"/>
          <w:lang w:val="da-DK"/>
        </w:rPr>
        <w:t xml:space="preserve"> blev kombineret med to kemoterapiregimer:</w:t>
      </w:r>
    </w:p>
    <w:p w14:paraId="19F1DCEC" w14:textId="77777777" w:rsidR="003563EF" w:rsidRPr="001278B6" w:rsidRDefault="003563EF" w:rsidP="001278B6">
      <w:pPr>
        <w:pStyle w:val="a3"/>
        <w:widowControl/>
        <w:adjustRightInd w:val="0"/>
        <w:snapToGrid w:val="0"/>
        <w:rPr>
          <w:snapToGrid w:val="0"/>
          <w:lang w:val="da-DK"/>
        </w:rPr>
      </w:pPr>
    </w:p>
    <w:p w14:paraId="6EB50D18" w14:textId="77777777" w:rsidR="003563EF" w:rsidRPr="001278B6" w:rsidRDefault="00473235" w:rsidP="001278B6">
      <w:pPr>
        <w:pStyle w:val="Bullet1"/>
        <w:widowControl/>
        <w:rPr>
          <w:lang w:val="da-DK"/>
        </w:rPr>
      </w:pPr>
      <w:r w:rsidRPr="001278B6">
        <w:rPr>
          <w:lang w:val="da-DK"/>
        </w:rPr>
        <w:t>AVF2107g: Et ugentligt regime med irinotecan/bolus af 5</w:t>
      </w:r>
      <w:r w:rsidR="004B3750">
        <w:rPr>
          <w:lang w:val="da-DK"/>
        </w:rPr>
        <w:noBreakHyphen/>
      </w:r>
      <w:r w:rsidRPr="001278B6">
        <w:rPr>
          <w:lang w:val="da-DK"/>
        </w:rPr>
        <w:t>fluoruracil/folininsyre (IFL</w:t>
      </w:r>
      <w:r w:rsidR="004B3750">
        <w:rPr>
          <w:lang w:val="da-DK"/>
        </w:rPr>
        <w:noBreakHyphen/>
      </w:r>
      <w:r w:rsidRPr="001278B6">
        <w:rPr>
          <w:lang w:val="da-DK"/>
        </w:rPr>
        <w:t>regime) i 4</w:t>
      </w:r>
      <w:r w:rsidR="00DC6F53">
        <w:rPr>
          <w:lang w:val="da-DK"/>
        </w:rPr>
        <w:t> </w:t>
      </w:r>
      <w:r w:rsidRPr="001278B6">
        <w:rPr>
          <w:lang w:val="da-DK"/>
        </w:rPr>
        <w:t>uger i hver 6 ugers cyklus (Saltz</w:t>
      </w:r>
      <w:r w:rsidR="004B3750">
        <w:rPr>
          <w:lang w:val="da-DK"/>
        </w:rPr>
        <w:noBreakHyphen/>
      </w:r>
      <w:r w:rsidRPr="001278B6">
        <w:rPr>
          <w:lang w:val="da-DK"/>
        </w:rPr>
        <w:t>regimet)</w:t>
      </w:r>
    </w:p>
    <w:p w14:paraId="32C436E0" w14:textId="77777777" w:rsidR="003563EF" w:rsidRPr="001278B6" w:rsidRDefault="00473235" w:rsidP="001278B6">
      <w:pPr>
        <w:pStyle w:val="Bullet1"/>
        <w:widowControl/>
        <w:rPr>
          <w:lang w:val="da-DK"/>
        </w:rPr>
      </w:pPr>
      <w:r w:rsidRPr="001278B6">
        <w:rPr>
          <w:lang w:val="da-DK"/>
        </w:rPr>
        <w:t>AVF0780g: I kombination med en bolus af 5</w:t>
      </w:r>
      <w:r w:rsidR="004B3750">
        <w:rPr>
          <w:lang w:val="da-DK"/>
        </w:rPr>
        <w:noBreakHyphen/>
      </w:r>
      <w:r w:rsidRPr="001278B6">
        <w:rPr>
          <w:lang w:val="da-DK"/>
        </w:rPr>
        <w:t>fluoruracil/folininsyre (5</w:t>
      </w:r>
      <w:r w:rsidR="004B3750">
        <w:rPr>
          <w:lang w:val="da-DK"/>
        </w:rPr>
        <w:noBreakHyphen/>
      </w:r>
      <w:r w:rsidRPr="001278B6">
        <w:rPr>
          <w:lang w:val="da-DK"/>
        </w:rPr>
        <w:t>FU/FA) i 6 uger i hver 8</w:t>
      </w:r>
      <w:r w:rsidR="008C3237">
        <w:rPr>
          <w:lang w:val="da-DK"/>
        </w:rPr>
        <w:t> </w:t>
      </w:r>
      <w:r w:rsidRPr="001278B6">
        <w:rPr>
          <w:lang w:val="da-DK"/>
        </w:rPr>
        <w:t>ugers cyklus (Roswell Park regimet)</w:t>
      </w:r>
    </w:p>
    <w:p w14:paraId="2C79EB3F" w14:textId="77777777" w:rsidR="003563EF" w:rsidRPr="001278B6" w:rsidRDefault="00473235" w:rsidP="001278B6">
      <w:pPr>
        <w:pStyle w:val="Bullet1"/>
        <w:widowControl/>
        <w:rPr>
          <w:lang w:val="da-DK"/>
        </w:rPr>
      </w:pPr>
      <w:r w:rsidRPr="001278B6">
        <w:rPr>
          <w:lang w:val="da-DK"/>
        </w:rPr>
        <w:t>AVF2192g: I kombination med en bolus af 5</w:t>
      </w:r>
      <w:r w:rsidR="004B3750">
        <w:rPr>
          <w:lang w:val="da-DK"/>
        </w:rPr>
        <w:noBreakHyphen/>
      </w:r>
      <w:r w:rsidRPr="001278B6">
        <w:rPr>
          <w:lang w:val="da-DK"/>
        </w:rPr>
        <w:t>FU/FA i 6 uger i hver 8 ugers cyklus (Roswell Park regimet) hos patienter, som ikke var optimale kandidater til 1.</w:t>
      </w:r>
      <w:r w:rsidR="004B3750">
        <w:rPr>
          <w:lang w:val="da-DK"/>
        </w:rPr>
        <w:noBreakHyphen/>
      </w:r>
      <w:r w:rsidRPr="001278B6">
        <w:rPr>
          <w:lang w:val="da-DK"/>
        </w:rPr>
        <w:t>linjebehandling med irinotecan.</w:t>
      </w:r>
    </w:p>
    <w:p w14:paraId="5C428862" w14:textId="77777777" w:rsidR="0079124A" w:rsidRPr="001278B6" w:rsidRDefault="0079124A" w:rsidP="001278B6">
      <w:pPr>
        <w:widowControl/>
        <w:adjustRightInd w:val="0"/>
        <w:snapToGrid w:val="0"/>
        <w:rPr>
          <w:snapToGrid w:val="0"/>
          <w:lang w:val="da-DK"/>
        </w:rPr>
      </w:pPr>
    </w:p>
    <w:p w14:paraId="7F76EFCA"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Yderligere tre studier med bevacizumab er blevet udført hos patienter med metastatisk kolorektalkræft: 1.</w:t>
      </w:r>
      <w:r w:rsidR="004B3750">
        <w:rPr>
          <w:snapToGrid w:val="0"/>
          <w:lang w:val="da-DK"/>
        </w:rPr>
        <w:noBreakHyphen/>
      </w:r>
      <w:r w:rsidRPr="001278B6">
        <w:rPr>
          <w:snapToGrid w:val="0"/>
          <w:lang w:val="da-DK"/>
        </w:rPr>
        <w:t>linje</w:t>
      </w:r>
      <w:r w:rsidR="004B3750">
        <w:rPr>
          <w:snapToGrid w:val="0"/>
          <w:lang w:val="da-DK"/>
        </w:rPr>
        <w:noBreakHyphen/>
      </w:r>
      <w:r w:rsidRPr="001278B6">
        <w:rPr>
          <w:snapToGrid w:val="0"/>
          <w:lang w:val="da-DK"/>
        </w:rPr>
        <w:t>behandling (NO16966), 2. linje</w:t>
      </w:r>
      <w:r w:rsidR="004B3750">
        <w:rPr>
          <w:snapToGrid w:val="0"/>
          <w:lang w:val="da-DK"/>
        </w:rPr>
        <w:noBreakHyphen/>
      </w:r>
      <w:r w:rsidRPr="001278B6">
        <w:rPr>
          <w:snapToGrid w:val="0"/>
          <w:lang w:val="da-DK"/>
        </w:rPr>
        <w:t>behandling uden tidligere bevacizumab</w:t>
      </w:r>
      <w:r w:rsidR="004B3750">
        <w:rPr>
          <w:snapToGrid w:val="0"/>
          <w:lang w:val="da-DK"/>
        </w:rPr>
        <w:noBreakHyphen/>
      </w:r>
      <w:r w:rsidRPr="001278B6">
        <w:rPr>
          <w:snapToGrid w:val="0"/>
          <w:lang w:val="da-DK"/>
        </w:rPr>
        <w:t>behandling (E3200) samt 2. linje</w:t>
      </w:r>
      <w:r w:rsidR="004B3750">
        <w:rPr>
          <w:snapToGrid w:val="0"/>
          <w:lang w:val="da-DK"/>
        </w:rPr>
        <w:noBreakHyphen/>
      </w:r>
      <w:r w:rsidRPr="001278B6">
        <w:rPr>
          <w:snapToGrid w:val="0"/>
          <w:lang w:val="da-DK"/>
        </w:rPr>
        <w:t>behandling efter sygdomsprogression efter i 1.</w:t>
      </w:r>
      <w:r w:rsidR="004B3750">
        <w:rPr>
          <w:snapToGrid w:val="0"/>
          <w:lang w:val="da-DK"/>
        </w:rPr>
        <w:noBreakHyphen/>
      </w:r>
      <w:r w:rsidRPr="001278B6">
        <w:rPr>
          <w:snapToGrid w:val="0"/>
          <w:lang w:val="da-DK"/>
        </w:rPr>
        <w:t>linje</w:t>
      </w:r>
      <w:r w:rsidR="004B3750">
        <w:rPr>
          <w:snapToGrid w:val="0"/>
          <w:lang w:val="da-DK"/>
        </w:rPr>
        <w:noBreakHyphen/>
      </w:r>
      <w:r w:rsidRPr="001278B6">
        <w:rPr>
          <w:snapToGrid w:val="0"/>
          <w:lang w:val="da-DK"/>
        </w:rPr>
        <w:t>behandling med bevacizumab (ML18147). I disse studier blev bevacizumab administreret i følgende doser i kombination med FOLFOX</w:t>
      </w:r>
      <w:r w:rsidR="004B3750">
        <w:rPr>
          <w:snapToGrid w:val="0"/>
          <w:lang w:val="da-DK"/>
        </w:rPr>
        <w:noBreakHyphen/>
      </w:r>
      <w:r w:rsidRPr="001278B6">
        <w:rPr>
          <w:snapToGrid w:val="0"/>
          <w:lang w:val="da-DK"/>
        </w:rPr>
        <w:t>4 (5FU/LV/oxaliplatin), XELOX (capecitabin/oxaliplatin) og fluoropyrimidin/irinotecan og fluoropyrimidin/oxaliplatin:</w:t>
      </w:r>
    </w:p>
    <w:p w14:paraId="10DA1092" w14:textId="77777777" w:rsidR="003563EF" w:rsidRPr="001278B6" w:rsidRDefault="003563EF" w:rsidP="001278B6">
      <w:pPr>
        <w:pStyle w:val="a3"/>
        <w:keepNext/>
        <w:keepLines/>
        <w:widowControl/>
        <w:adjustRightInd w:val="0"/>
        <w:snapToGrid w:val="0"/>
        <w:rPr>
          <w:snapToGrid w:val="0"/>
          <w:lang w:val="da-DK"/>
        </w:rPr>
      </w:pPr>
    </w:p>
    <w:p w14:paraId="18BA7201" w14:textId="39592874" w:rsidR="003563EF" w:rsidRPr="001278B6" w:rsidRDefault="00473235" w:rsidP="001278B6">
      <w:pPr>
        <w:pStyle w:val="Bullet1"/>
        <w:widowControl/>
        <w:rPr>
          <w:lang w:val="da-DK"/>
        </w:rPr>
      </w:pPr>
      <w:r w:rsidRPr="001278B6">
        <w:rPr>
          <w:lang w:val="da-DK"/>
        </w:rPr>
        <w:t xml:space="preserve">NO16966: </w:t>
      </w:r>
      <w:r w:rsidR="00C73E03">
        <w:rPr>
          <w:lang w:val="da-DK"/>
        </w:rPr>
        <w:t>Bevacizumab</w:t>
      </w:r>
      <w:r w:rsidRPr="001278B6">
        <w:rPr>
          <w:lang w:val="da-DK"/>
        </w:rPr>
        <w:t xml:space="preserve"> 7,5</w:t>
      </w:r>
      <w:r w:rsidR="00006F4F">
        <w:rPr>
          <w:lang w:val="da-DK"/>
        </w:rPr>
        <w:t> mg</w:t>
      </w:r>
      <w:r w:rsidRPr="001278B6">
        <w:rPr>
          <w:lang w:val="da-DK"/>
        </w:rPr>
        <w:t xml:space="preserve">/kg legemsvægt hver 3. uge i kombination med oral capecitabin og intravenøs oxaliplatin (XELOX) eller </w:t>
      </w:r>
      <w:r w:rsidR="00FE7FC1">
        <w:rPr>
          <w:lang w:val="da-DK"/>
        </w:rPr>
        <w:t>bevacizumab</w:t>
      </w:r>
      <w:r w:rsidR="00FE7FC1" w:rsidRPr="001278B6">
        <w:rPr>
          <w:lang w:val="da-DK"/>
        </w:rPr>
        <w:t xml:space="preserve"> </w:t>
      </w:r>
      <w:r w:rsidRPr="001278B6">
        <w:rPr>
          <w:lang w:val="da-DK"/>
        </w:rPr>
        <w:t>5</w:t>
      </w:r>
      <w:r w:rsidR="00006F4F">
        <w:rPr>
          <w:lang w:val="da-DK"/>
        </w:rPr>
        <w:t> mg</w:t>
      </w:r>
      <w:r w:rsidRPr="001278B6">
        <w:rPr>
          <w:lang w:val="da-DK"/>
        </w:rPr>
        <w:t>/kg hver 2. uge i kombination med leucovorin plus 5</w:t>
      </w:r>
      <w:r w:rsidR="004B3750">
        <w:rPr>
          <w:lang w:val="da-DK"/>
        </w:rPr>
        <w:noBreakHyphen/>
      </w:r>
      <w:r w:rsidRPr="001278B6">
        <w:rPr>
          <w:lang w:val="da-DK"/>
        </w:rPr>
        <w:t>fluoruracil bolus efterfulgt af 5</w:t>
      </w:r>
      <w:r w:rsidR="004B3750">
        <w:rPr>
          <w:lang w:val="da-DK"/>
        </w:rPr>
        <w:noBreakHyphen/>
      </w:r>
      <w:r w:rsidRPr="001278B6">
        <w:rPr>
          <w:lang w:val="da-DK"/>
        </w:rPr>
        <w:t>fluoruracil infusion og intravenøs oxaliplatin (FOLFOX</w:t>
      </w:r>
      <w:r w:rsidR="004B3750">
        <w:rPr>
          <w:lang w:val="da-DK"/>
        </w:rPr>
        <w:noBreakHyphen/>
      </w:r>
      <w:r w:rsidRPr="001278B6">
        <w:rPr>
          <w:lang w:val="da-DK"/>
        </w:rPr>
        <w:t>4).</w:t>
      </w:r>
    </w:p>
    <w:p w14:paraId="43B45659" w14:textId="77777777" w:rsidR="003563EF" w:rsidRPr="001278B6" w:rsidRDefault="003563EF" w:rsidP="001278B6">
      <w:pPr>
        <w:pStyle w:val="a3"/>
        <w:widowControl/>
        <w:adjustRightInd w:val="0"/>
        <w:snapToGrid w:val="0"/>
        <w:rPr>
          <w:snapToGrid w:val="0"/>
          <w:lang w:val="da-DK"/>
        </w:rPr>
      </w:pPr>
    </w:p>
    <w:p w14:paraId="786160D5" w14:textId="77777777" w:rsidR="003563EF" w:rsidRPr="001278B6" w:rsidRDefault="00473235" w:rsidP="001278B6">
      <w:pPr>
        <w:pStyle w:val="Bullet1"/>
        <w:widowControl/>
        <w:rPr>
          <w:lang w:val="da-DK"/>
        </w:rPr>
      </w:pPr>
      <w:r w:rsidRPr="001278B6">
        <w:rPr>
          <w:lang w:val="da-DK"/>
        </w:rPr>
        <w:t xml:space="preserve">E3200: </w:t>
      </w:r>
      <w:r w:rsidR="00C73E03">
        <w:rPr>
          <w:lang w:val="da-DK"/>
        </w:rPr>
        <w:t>Bevacizumab</w:t>
      </w:r>
      <w:r w:rsidRPr="001278B6">
        <w:rPr>
          <w:lang w:val="da-DK"/>
        </w:rPr>
        <w:t xml:space="preserve"> 10</w:t>
      </w:r>
      <w:r w:rsidR="00006F4F">
        <w:rPr>
          <w:lang w:val="da-DK"/>
        </w:rPr>
        <w:t> mg</w:t>
      </w:r>
      <w:r w:rsidRPr="001278B6">
        <w:rPr>
          <w:lang w:val="da-DK"/>
        </w:rPr>
        <w:t>/kg legemsvægt hver 2. uge i kombination med leucovorin og 5</w:t>
      </w:r>
      <w:r w:rsidR="004B3750">
        <w:rPr>
          <w:lang w:val="da-DK"/>
        </w:rPr>
        <w:noBreakHyphen/>
      </w:r>
      <w:r w:rsidRPr="001278B6">
        <w:rPr>
          <w:lang w:val="da-DK"/>
        </w:rPr>
        <w:t>fluoruracil bolus, efterfulgt af 5</w:t>
      </w:r>
      <w:r w:rsidR="004B3750">
        <w:rPr>
          <w:lang w:val="da-DK"/>
        </w:rPr>
        <w:noBreakHyphen/>
      </w:r>
      <w:r w:rsidRPr="001278B6">
        <w:rPr>
          <w:lang w:val="da-DK"/>
        </w:rPr>
        <w:t>fluoruracil infusion og intravenøs oxaliplatin (FOLFOX</w:t>
      </w:r>
      <w:r w:rsidR="004B3750">
        <w:rPr>
          <w:lang w:val="da-DK"/>
        </w:rPr>
        <w:noBreakHyphen/>
      </w:r>
      <w:r w:rsidRPr="001278B6">
        <w:rPr>
          <w:lang w:val="da-DK"/>
        </w:rPr>
        <w:t>4) til bevacizumab</w:t>
      </w:r>
      <w:r w:rsidR="004B3750">
        <w:rPr>
          <w:lang w:val="da-DK"/>
        </w:rPr>
        <w:noBreakHyphen/>
      </w:r>
      <w:r w:rsidRPr="001278B6">
        <w:rPr>
          <w:lang w:val="da-DK"/>
        </w:rPr>
        <w:t>naive patienter.</w:t>
      </w:r>
    </w:p>
    <w:p w14:paraId="4ACCB6AD" w14:textId="77777777" w:rsidR="003563EF" w:rsidRPr="001278B6" w:rsidRDefault="003563EF" w:rsidP="001278B6">
      <w:pPr>
        <w:pStyle w:val="a3"/>
        <w:widowControl/>
        <w:adjustRightInd w:val="0"/>
        <w:snapToGrid w:val="0"/>
        <w:rPr>
          <w:snapToGrid w:val="0"/>
          <w:lang w:val="da-DK"/>
        </w:rPr>
      </w:pPr>
    </w:p>
    <w:p w14:paraId="2A88E8E2" w14:textId="6A71E397" w:rsidR="003563EF" w:rsidRPr="001278B6" w:rsidRDefault="00473235" w:rsidP="001278B6">
      <w:pPr>
        <w:pStyle w:val="Bullet1"/>
        <w:widowControl/>
        <w:rPr>
          <w:lang w:val="da-DK"/>
        </w:rPr>
      </w:pPr>
      <w:r w:rsidRPr="001278B6">
        <w:rPr>
          <w:lang w:val="da-DK"/>
        </w:rPr>
        <w:t xml:space="preserve">ML 18147: </w:t>
      </w:r>
      <w:r w:rsidR="00C73E03">
        <w:rPr>
          <w:lang w:val="da-DK"/>
        </w:rPr>
        <w:t>Bevacizumab</w:t>
      </w:r>
      <w:r w:rsidRPr="001278B6">
        <w:rPr>
          <w:lang w:val="da-DK"/>
        </w:rPr>
        <w:t xml:space="preserve"> 5,0</w:t>
      </w:r>
      <w:r w:rsidR="00006F4F">
        <w:rPr>
          <w:lang w:val="da-DK"/>
        </w:rPr>
        <w:t> mg</w:t>
      </w:r>
      <w:r w:rsidRPr="001278B6">
        <w:rPr>
          <w:lang w:val="da-DK"/>
        </w:rPr>
        <w:t xml:space="preserve">/kg legemsvægt hver 2. uge eller </w:t>
      </w:r>
      <w:r w:rsidR="00FE7FC1">
        <w:rPr>
          <w:lang w:val="da-DK"/>
        </w:rPr>
        <w:t>bevacizumab</w:t>
      </w:r>
      <w:r w:rsidR="00FE7FC1" w:rsidRPr="001278B6">
        <w:rPr>
          <w:lang w:val="da-DK"/>
        </w:rPr>
        <w:t xml:space="preserve"> </w:t>
      </w:r>
      <w:r w:rsidRPr="001278B6">
        <w:rPr>
          <w:lang w:val="da-DK"/>
        </w:rPr>
        <w:t>7,5</w:t>
      </w:r>
      <w:r w:rsidR="00006F4F">
        <w:rPr>
          <w:lang w:val="da-DK"/>
        </w:rPr>
        <w:t> mg</w:t>
      </w:r>
      <w:r w:rsidRPr="001278B6">
        <w:rPr>
          <w:lang w:val="da-DK"/>
        </w:rPr>
        <w:t>/kg legemsvægt hver</w:t>
      </w:r>
      <w:r w:rsidR="008C3237" w:rsidRPr="008C3237">
        <w:rPr>
          <w:lang w:val="da-DK"/>
        </w:rPr>
        <w:t xml:space="preserve"> </w:t>
      </w:r>
      <w:r w:rsidRPr="001278B6">
        <w:rPr>
          <w:lang w:val="da-DK"/>
        </w:rPr>
        <w:t>3. uge i kombination med fluoropyrimidin/irinotecan eller fluoropyrimidin/oxaliplatin til patienter med sygdomsprogression efter 1.linje</w:t>
      </w:r>
      <w:r w:rsidR="004B3750">
        <w:rPr>
          <w:lang w:val="da-DK"/>
        </w:rPr>
        <w:noBreakHyphen/>
      </w:r>
      <w:r w:rsidRPr="001278B6">
        <w:rPr>
          <w:lang w:val="da-DK"/>
        </w:rPr>
        <w:t>behandling med bevacizumab. Anvendelse af irinotecan</w:t>
      </w:r>
      <w:r w:rsidR="004B3750">
        <w:rPr>
          <w:lang w:val="da-DK"/>
        </w:rPr>
        <w:noBreakHyphen/>
      </w:r>
      <w:r w:rsidRPr="001278B6">
        <w:rPr>
          <w:lang w:val="da-DK"/>
        </w:rPr>
        <w:t xml:space="preserve"> eller oxaliplatin</w:t>
      </w:r>
      <w:r w:rsidR="004B3750">
        <w:rPr>
          <w:lang w:val="da-DK"/>
        </w:rPr>
        <w:noBreakHyphen/>
      </w:r>
      <w:r w:rsidRPr="001278B6">
        <w:rPr>
          <w:lang w:val="da-DK"/>
        </w:rPr>
        <w:t>indeholdende regime blev ændret afhængigt af 1.</w:t>
      </w:r>
      <w:r w:rsidR="004B3750">
        <w:rPr>
          <w:lang w:val="da-DK"/>
        </w:rPr>
        <w:noBreakHyphen/>
      </w:r>
      <w:r w:rsidRPr="001278B6">
        <w:rPr>
          <w:lang w:val="da-DK"/>
        </w:rPr>
        <w:t>linje</w:t>
      </w:r>
      <w:r w:rsidR="004B3750">
        <w:rPr>
          <w:lang w:val="da-DK"/>
        </w:rPr>
        <w:noBreakHyphen/>
      </w:r>
      <w:r w:rsidRPr="001278B6">
        <w:rPr>
          <w:lang w:val="da-DK"/>
        </w:rPr>
        <w:t>anvendelse af enten oxaliplatin eller irinotecan.</w:t>
      </w:r>
    </w:p>
    <w:p w14:paraId="615AFE5E" w14:textId="77777777" w:rsidR="003563EF" w:rsidRPr="001278B6" w:rsidRDefault="003563EF" w:rsidP="001278B6">
      <w:pPr>
        <w:pStyle w:val="a3"/>
        <w:widowControl/>
        <w:adjustRightInd w:val="0"/>
        <w:snapToGrid w:val="0"/>
        <w:rPr>
          <w:snapToGrid w:val="0"/>
          <w:lang w:val="da-DK"/>
        </w:rPr>
      </w:pPr>
    </w:p>
    <w:p w14:paraId="7ADD34EF"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AVF2107g</w:t>
      </w:r>
    </w:p>
    <w:p w14:paraId="1344BE65"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var et randomiseret, dobbeltblindet, aktivt kontrolleret, klinisk fase III</w:t>
      </w:r>
      <w:r w:rsidR="004B3750">
        <w:rPr>
          <w:snapToGrid w:val="0"/>
          <w:lang w:val="da-DK"/>
        </w:rPr>
        <w:noBreakHyphen/>
      </w:r>
      <w:r w:rsidRPr="001278B6">
        <w:rPr>
          <w:snapToGrid w:val="0"/>
          <w:lang w:val="da-DK"/>
        </w:rPr>
        <w:t xml:space="preserve">studie, som evaluerede </w:t>
      </w:r>
      <w:r w:rsidR="00C73E03">
        <w:rPr>
          <w:snapToGrid w:val="0"/>
          <w:lang w:val="da-DK"/>
        </w:rPr>
        <w:t>bevacizumab</w:t>
      </w:r>
      <w:r w:rsidRPr="001278B6">
        <w:rPr>
          <w:snapToGrid w:val="0"/>
          <w:lang w:val="da-DK"/>
        </w:rPr>
        <w:t xml:space="preserve"> i kombination med IFL som 1.</w:t>
      </w:r>
      <w:r w:rsidR="004B3750">
        <w:rPr>
          <w:snapToGrid w:val="0"/>
          <w:lang w:val="da-DK"/>
        </w:rPr>
        <w:noBreakHyphen/>
      </w:r>
      <w:r w:rsidRPr="001278B6">
        <w:rPr>
          <w:snapToGrid w:val="0"/>
          <w:lang w:val="da-DK"/>
        </w:rPr>
        <w:t xml:space="preserve">linjebehandling af metastatisk kolorektalkræft. Der blev randomiseret 813 patienter til behandling med IFL + placebo (arm 1) eller IFL + </w:t>
      </w:r>
      <w:r w:rsidR="00C73E03">
        <w:rPr>
          <w:snapToGrid w:val="0"/>
          <w:lang w:val="da-DK"/>
        </w:rPr>
        <w:t>bevacizumab</w:t>
      </w:r>
      <w:r w:rsidRPr="001278B6">
        <w:rPr>
          <w:snapToGrid w:val="0"/>
          <w:lang w:val="da-DK"/>
        </w:rPr>
        <w:t xml:space="preserve"> (5</w:t>
      </w:r>
      <w:r w:rsidR="00006F4F">
        <w:rPr>
          <w:snapToGrid w:val="0"/>
          <w:lang w:val="da-DK"/>
        </w:rPr>
        <w:t> mg</w:t>
      </w:r>
      <w:r w:rsidRPr="001278B6">
        <w:rPr>
          <w:snapToGrid w:val="0"/>
          <w:lang w:val="da-DK"/>
        </w:rPr>
        <w:t>/kg hver 2. uge, arm 2). En tredje gruppe på 110 patienter fik en bolus af 5</w:t>
      </w:r>
      <w:r w:rsidR="004B3750">
        <w:rPr>
          <w:snapToGrid w:val="0"/>
          <w:lang w:val="da-DK"/>
        </w:rPr>
        <w:noBreakHyphen/>
      </w:r>
      <w:r w:rsidRPr="001278B6">
        <w:rPr>
          <w:snapToGrid w:val="0"/>
          <w:lang w:val="da-DK"/>
        </w:rPr>
        <w:t xml:space="preserve">FU/FA + </w:t>
      </w:r>
      <w:r w:rsidR="00C73E03">
        <w:rPr>
          <w:snapToGrid w:val="0"/>
          <w:lang w:val="da-DK"/>
        </w:rPr>
        <w:lastRenderedPageBreak/>
        <w:t>bevacizumab</w:t>
      </w:r>
      <w:r w:rsidRPr="001278B6">
        <w:rPr>
          <w:snapToGrid w:val="0"/>
          <w:lang w:val="da-DK"/>
        </w:rPr>
        <w:t xml:space="preserve"> (arm 3). Som forud planlagt blev inklusionen i arm 3 standset, så snart sikkerheden af </w:t>
      </w:r>
      <w:r w:rsidR="008E7ECF">
        <w:rPr>
          <w:snapToGrid w:val="0"/>
          <w:lang w:val="da-DK"/>
        </w:rPr>
        <w:t>bevacizumab</w:t>
      </w:r>
      <w:r w:rsidR="008E7ECF" w:rsidRPr="001278B6">
        <w:rPr>
          <w:snapToGrid w:val="0"/>
          <w:lang w:val="da-DK"/>
        </w:rPr>
        <w:t xml:space="preserve"> </w:t>
      </w:r>
      <w:r w:rsidRPr="001278B6">
        <w:rPr>
          <w:snapToGrid w:val="0"/>
          <w:lang w:val="da-DK"/>
        </w:rPr>
        <w:t>med IFL</w:t>
      </w:r>
      <w:r w:rsidR="004B3750">
        <w:rPr>
          <w:snapToGrid w:val="0"/>
          <w:lang w:val="da-DK"/>
        </w:rPr>
        <w:noBreakHyphen/>
      </w:r>
      <w:r w:rsidRPr="001278B6">
        <w:rPr>
          <w:snapToGrid w:val="0"/>
          <w:lang w:val="da-DK"/>
        </w:rPr>
        <w:t>regimet var dokumenteret og blev anset for acceptabel. Alle behandlinger fortsatte indtil sygdomsprogression. Den samlede gennemsnitsalder var 59,4 år, 56,6 % af patienterne havde en ECOG</w:t>
      </w:r>
      <w:r w:rsidR="004B3750">
        <w:rPr>
          <w:snapToGrid w:val="0"/>
          <w:lang w:val="da-DK"/>
        </w:rPr>
        <w:noBreakHyphen/>
      </w:r>
      <w:r w:rsidRPr="001278B6">
        <w:rPr>
          <w:snapToGrid w:val="0"/>
          <w:lang w:val="da-DK"/>
        </w:rPr>
        <w:t>performancestatus på 0, 43</w:t>
      </w:r>
      <w:r w:rsidR="00DC6F53">
        <w:rPr>
          <w:snapToGrid w:val="0"/>
          <w:lang w:val="da-DK"/>
        </w:rPr>
        <w:t> </w:t>
      </w:r>
      <w:r w:rsidRPr="001278B6">
        <w:rPr>
          <w:snapToGrid w:val="0"/>
          <w:lang w:val="da-DK"/>
        </w:rPr>
        <w:t>% havde en status på 1 og 0,4 % havde en status på 2. 15,5 % havde tidligere fået strålebehandling, og 28,4 % havde tidligere fået kemoterapi.</w:t>
      </w:r>
    </w:p>
    <w:p w14:paraId="4F48EF0C" w14:textId="77777777" w:rsidR="003563EF" w:rsidRPr="001278B6" w:rsidRDefault="003563EF" w:rsidP="001278B6">
      <w:pPr>
        <w:pStyle w:val="a3"/>
        <w:widowControl/>
        <w:adjustRightInd w:val="0"/>
        <w:snapToGrid w:val="0"/>
        <w:rPr>
          <w:snapToGrid w:val="0"/>
          <w:lang w:val="da-DK"/>
        </w:rPr>
      </w:pPr>
    </w:p>
    <w:p w14:paraId="3C078EB4" w14:textId="45970A33" w:rsidR="003563EF" w:rsidRPr="001278B6" w:rsidRDefault="00473235" w:rsidP="001278B6">
      <w:pPr>
        <w:pStyle w:val="a3"/>
        <w:widowControl/>
        <w:adjustRightInd w:val="0"/>
        <w:snapToGrid w:val="0"/>
        <w:rPr>
          <w:snapToGrid w:val="0"/>
          <w:lang w:val="da-DK"/>
        </w:rPr>
      </w:pPr>
      <w:r w:rsidRPr="001278B6">
        <w:rPr>
          <w:snapToGrid w:val="0"/>
          <w:lang w:val="da-DK"/>
        </w:rPr>
        <w:t xml:space="preserve">Studiets primære effektparameter var varighed af </w:t>
      </w:r>
      <w:r w:rsidR="00112733">
        <w:rPr>
          <w:snapToGrid w:val="0"/>
          <w:lang w:val="da-DK"/>
        </w:rPr>
        <w:t>OS</w:t>
      </w:r>
      <w:r w:rsidRPr="001278B6">
        <w:rPr>
          <w:snapToGrid w:val="0"/>
          <w:lang w:val="da-DK"/>
        </w:rPr>
        <w:t xml:space="preserve">. Tillæg af </w:t>
      </w:r>
      <w:r w:rsidR="00C73E03">
        <w:rPr>
          <w:snapToGrid w:val="0"/>
          <w:lang w:val="da-DK"/>
        </w:rPr>
        <w:t>bevacizumab</w:t>
      </w:r>
      <w:r w:rsidRPr="001278B6">
        <w:rPr>
          <w:snapToGrid w:val="0"/>
          <w:lang w:val="da-DK"/>
        </w:rPr>
        <w:t xml:space="preserve"> til IFL resulterede i en statistisk signifikant stigning i den OS, PFS og samlet responsrate (se tabel 4). Den kliniske gevinst, bedømt efter </w:t>
      </w:r>
      <w:r w:rsidR="00112733">
        <w:rPr>
          <w:snapToGrid w:val="0"/>
          <w:lang w:val="da-DK"/>
        </w:rPr>
        <w:t>OS</w:t>
      </w:r>
      <w:r w:rsidRPr="001278B6">
        <w:rPr>
          <w:snapToGrid w:val="0"/>
          <w:lang w:val="da-DK"/>
        </w:rPr>
        <w:t>, blev set i alle forudspecificerede patientundergrupper, inklusive grupper defineret i henhold til alder, køn, performancestatus, lokalisering af primær tumor, antal involverede organer og varighed af metastatisk sygdom.</w:t>
      </w:r>
    </w:p>
    <w:p w14:paraId="08FA6616" w14:textId="77777777" w:rsidR="0079124A" w:rsidRPr="001278B6" w:rsidRDefault="0079124A" w:rsidP="001278B6">
      <w:pPr>
        <w:widowControl/>
        <w:adjustRightInd w:val="0"/>
        <w:snapToGrid w:val="0"/>
        <w:rPr>
          <w:snapToGrid w:val="0"/>
          <w:lang w:val="da-DK"/>
        </w:rPr>
      </w:pPr>
    </w:p>
    <w:p w14:paraId="092B138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Resultaterne for effekt af </w:t>
      </w:r>
      <w:r w:rsidR="00C73E03">
        <w:rPr>
          <w:snapToGrid w:val="0"/>
          <w:lang w:val="da-DK"/>
        </w:rPr>
        <w:t>bevacizumab</w:t>
      </w:r>
      <w:r w:rsidRPr="001278B6">
        <w:rPr>
          <w:snapToGrid w:val="0"/>
          <w:lang w:val="da-DK"/>
        </w:rPr>
        <w:t xml:space="preserve"> i kombination med IFL</w:t>
      </w:r>
      <w:r w:rsidR="004B3750">
        <w:rPr>
          <w:snapToGrid w:val="0"/>
          <w:lang w:val="da-DK"/>
        </w:rPr>
        <w:noBreakHyphen/>
      </w:r>
      <w:r w:rsidRPr="001278B6">
        <w:rPr>
          <w:snapToGrid w:val="0"/>
          <w:lang w:val="da-DK"/>
        </w:rPr>
        <w:t>kemoterapi fremgår af tabel 4.</w:t>
      </w:r>
    </w:p>
    <w:p w14:paraId="54995BCA" w14:textId="77777777" w:rsidR="003563EF" w:rsidRPr="001278B6" w:rsidRDefault="003563EF" w:rsidP="001278B6">
      <w:pPr>
        <w:pStyle w:val="a3"/>
        <w:widowControl/>
        <w:adjustRightInd w:val="0"/>
        <w:snapToGrid w:val="0"/>
        <w:rPr>
          <w:snapToGrid w:val="0"/>
          <w:lang w:val="da-DK"/>
        </w:rPr>
      </w:pPr>
    </w:p>
    <w:p w14:paraId="1A63393D" w14:textId="77777777" w:rsidR="003563EF" w:rsidRPr="00765991" w:rsidRDefault="00473235" w:rsidP="00765991">
      <w:pPr>
        <w:ind w:left="1134" w:hanging="1134"/>
        <w:rPr>
          <w:b/>
          <w:bCs/>
          <w:snapToGrid w:val="0"/>
          <w:lang w:val="da-DK"/>
        </w:rPr>
      </w:pPr>
      <w:r w:rsidRPr="00765991">
        <w:rPr>
          <w:b/>
          <w:bCs/>
          <w:snapToGrid w:val="0"/>
          <w:lang w:val="da-DK"/>
        </w:rPr>
        <w:t>Tabel 4.</w:t>
      </w:r>
      <w:r w:rsidRPr="00765991">
        <w:rPr>
          <w:b/>
          <w:bCs/>
          <w:snapToGrid w:val="0"/>
          <w:lang w:val="da-DK"/>
        </w:rPr>
        <w:tab/>
        <w:t>Resultater for effekt i studie AVF2107g</w:t>
      </w:r>
    </w:p>
    <w:p w14:paraId="6B979F5E" w14:textId="77777777" w:rsidR="003563EF" w:rsidRPr="001278B6" w:rsidRDefault="003563EF" w:rsidP="003C1C0B">
      <w:pPr>
        <w:pStyle w:val="a3"/>
        <w:keepNext/>
        <w:keepLines/>
        <w:widowControl/>
        <w:adjustRightInd w:val="0"/>
        <w:snapToGrid w:val="0"/>
        <w:rPr>
          <w:b/>
          <w:snapToGrid w:val="0"/>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61"/>
        <w:gridCol w:w="2283"/>
        <w:gridCol w:w="2312"/>
      </w:tblGrid>
      <w:tr w:rsidR="003563EF" w:rsidRPr="005476B6" w14:paraId="1CE1A57A" w14:textId="77777777" w:rsidTr="00643E73">
        <w:tc>
          <w:tcPr>
            <w:tcW w:w="4481" w:type="dxa"/>
            <w:vMerge w:val="restart"/>
          </w:tcPr>
          <w:p w14:paraId="32C9BA8E" w14:textId="77777777" w:rsidR="003563EF" w:rsidRPr="001278B6" w:rsidRDefault="003563EF" w:rsidP="003C1C0B">
            <w:pPr>
              <w:pStyle w:val="TableParagraph"/>
              <w:keepNext/>
              <w:keepLines/>
              <w:widowControl/>
              <w:adjustRightInd w:val="0"/>
              <w:snapToGrid w:val="0"/>
              <w:rPr>
                <w:snapToGrid w:val="0"/>
                <w:sz w:val="20"/>
                <w:lang w:val="da-DK"/>
              </w:rPr>
            </w:pPr>
          </w:p>
        </w:tc>
        <w:tc>
          <w:tcPr>
            <w:tcW w:w="4615" w:type="dxa"/>
            <w:gridSpan w:val="2"/>
          </w:tcPr>
          <w:p w14:paraId="0006B886" w14:textId="77777777" w:rsidR="003563EF" w:rsidRPr="001278B6" w:rsidRDefault="00473235" w:rsidP="003C1C0B">
            <w:pPr>
              <w:pStyle w:val="TableParagraph"/>
              <w:keepNext/>
              <w:keepLines/>
              <w:widowControl/>
              <w:adjustRightInd w:val="0"/>
              <w:snapToGrid w:val="0"/>
              <w:jc w:val="center"/>
              <w:rPr>
                <w:b/>
                <w:bCs/>
                <w:snapToGrid w:val="0"/>
                <w:sz w:val="20"/>
                <w:lang w:val="da-DK"/>
              </w:rPr>
            </w:pPr>
            <w:r w:rsidRPr="001278B6">
              <w:rPr>
                <w:b/>
                <w:bCs/>
                <w:snapToGrid w:val="0"/>
                <w:sz w:val="20"/>
                <w:lang w:val="da-DK"/>
              </w:rPr>
              <w:t>AVF2107g</w:t>
            </w:r>
          </w:p>
        </w:tc>
      </w:tr>
      <w:tr w:rsidR="003563EF" w:rsidRPr="005476B6" w14:paraId="2C27DE0A" w14:textId="77777777" w:rsidTr="00643E73">
        <w:tc>
          <w:tcPr>
            <w:tcW w:w="4481" w:type="dxa"/>
            <w:vMerge/>
            <w:tcBorders>
              <w:top w:val="nil"/>
            </w:tcBorders>
          </w:tcPr>
          <w:p w14:paraId="17960706" w14:textId="77777777" w:rsidR="003563EF" w:rsidRPr="001278B6" w:rsidRDefault="003563EF" w:rsidP="003C1C0B">
            <w:pPr>
              <w:keepNext/>
              <w:keepLines/>
              <w:widowControl/>
              <w:adjustRightInd w:val="0"/>
              <w:snapToGrid w:val="0"/>
              <w:rPr>
                <w:snapToGrid w:val="0"/>
                <w:sz w:val="20"/>
                <w:szCs w:val="2"/>
                <w:lang w:val="da-DK"/>
              </w:rPr>
            </w:pPr>
          </w:p>
        </w:tc>
        <w:tc>
          <w:tcPr>
            <w:tcW w:w="2293" w:type="dxa"/>
          </w:tcPr>
          <w:p w14:paraId="71984027" w14:textId="77777777" w:rsidR="003563EF" w:rsidRPr="001278B6" w:rsidRDefault="00473235" w:rsidP="003C1C0B">
            <w:pPr>
              <w:pStyle w:val="TableParagraph"/>
              <w:keepNext/>
              <w:keepLines/>
              <w:widowControl/>
              <w:adjustRightInd w:val="0"/>
              <w:snapToGrid w:val="0"/>
              <w:jc w:val="center"/>
              <w:rPr>
                <w:b/>
                <w:bCs/>
                <w:snapToGrid w:val="0"/>
                <w:sz w:val="20"/>
                <w:lang w:val="da-DK"/>
              </w:rPr>
            </w:pPr>
            <w:r w:rsidRPr="001278B6">
              <w:rPr>
                <w:b/>
                <w:bCs/>
                <w:snapToGrid w:val="0"/>
                <w:sz w:val="20"/>
                <w:lang w:val="da-DK"/>
              </w:rPr>
              <w:t>Arm 1</w:t>
            </w:r>
          </w:p>
          <w:p w14:paraId="78E2033D" w14:textId="77777777" w:rsidR="003563EF" w:rsidRPr="001278B6" w:rsidRDefault="00473235" w:rsidP="003C1C0B">
            <w:pPr>
              <w:pStyle w:val="TableParagraph"/>
              <w:keepNext/>
              <w:keepLines/>
              <w:widowControl/>
              <w:adjustRightInd w:val="0"/>
              <w:snapToGrid w:val="0"/>
              <w:jc w:val="center"/>
              <w:rPr>
                <w:b/>
                <w:bCs/>
                <w:snapToGrid w:val="0"/>
                <w:sz w:val="20"/>
                <w:lang w:val="da-DK"/>
              </w:rPr>
            </w:pPr>
            <w:r w:rsidRPr="001278B6">
              <w:rPr>
                <w:b/>
                <w:bCs/>
                <w:snapToGrid w:val="0"/>
                <w:sz w:val="20"/>
                <w:lang w:val="da-DK"/>
              </w:rPr>
              <w:t xml:space="preserve">IFL </w:t>
            </w:r>
            <w:r w:rsidR="003534F4" w:rsidRPr="00A92059">
              <w:rPr>
                <w:b/>
                <w:bCs/>
                <w:sz w:val="20"/>
                <w:szCs w:val="20"/>
              </w:rPr>
              <w:t>+</w:t>
            </w:r>
            <w:r w:rsidR="003534F4">
              <w:rPr>
                <w:b/>
                <w:bCs/>
                <w:snapToGrid w:val="0"/>
                <w:sz w:val="20"/>
                <w:lang w:val="da-DK"/>
              </w:rPr>
              <w:t xml:space="preserve"> </w:t>
            </w:r>
            <w:r w:rsidRPr="001278B6">
              <w:rPr>
                <w:b/>
                <w:bCs/>
                <w:snapToGrid w:val="0"/>
                <w:sz w:val="20"/>
                <w:lang w:val="da-DK"/>
              </w:rPr>
              <w:t>placebo</w:t>
            </w:r>
          </w:p>
        </w:tc>
        <w:tc>
          <w:tcPr>
            <w:tcW w:w="2322" w:type="dxa"/>
          </w:tcPr>
          <w:p w14:paraId="11A32ABB" w14:textId="77777777" w:rsidR="003563EF" w:rsidRPr="001278B6" w:rsidRDefault="00473235" w:rsidP="003C1C0B">
            <w:pPr>
              <w:pStyle w:val="TableParagraph"/>
              <w:keepNext/>
              <w:keepLines/>
              <w:widowControl/>
              <w:adjustRightInd w:val="0"/>
              <w:snapToGrid w:val="0"/>
              <w:jc w:val="center"/>
              <w:rPr>
                <w:b/>
                <w:bCs/>
                <w:snapToGrid w:val="0"/>
                <w:sz w:val="20"/>
                <w:lang w:val="da-DK"/>
              </w:rPr>
            </w:pPr>
            <w:r w:rsidRPr="001278B6">
              <w:rPr>
                <w:b/>
                <w:bCs/>
                <w:snapToGrid w:val="0"/>
                <w:sz w:val="20"/>
                <w:lang w:val="da-DK"/>
              </w:rPr>
              <w:t>Arm 2</w:t>
            </w:r>
          </w:p>
          <w:p w14:paraId="3BAB0D3E" w14:textId="77777777" w:rsidR="003563EF" w:rsidRPr="001278B6" w:rsidRDefault="00473235" w:rsidP="003C1C0B">
            <w:pPr>
              <w:pStyle w:val="TableParagraph"/>
              <w:keepNext/>
              <w:keepLines/>
              <w:widowControl/>
              <w:adjustRightInd w:val="0"/>
              <w:snapToGrid w:val="0"/>
              <w:jc w:val="center"/>
              <w:rPr>
                <w:b/>
                <w:bCs/>
                <w:snapToGrid w:val="0"/>
                <w:sz w:val="20"/>
                <w:lang w:val="da-DK"/>
              </w:rPr>
            </w:pPr>
            <w:r w:rsidRPr="001278B6">
              <w:rPr>
                <w:b/>
                <w:bCs/>
                <w:snapToGrid w:val="0"/>
                <w:sz w:val="20"/>
                <w:lang w:val="da-DK"/>
              </w:rPr>
              <w:t xml:space="preserve">IFL </w:t>
            </w:r>
            <w:r w:rsidR="003534F4" w:rsidRPr="00A92059">
              <w:rPr>
                <w:b/>
                <w:bCs/>
                <w:sz w:val="20"/>
                <w:szCs w:val="20"/>
              </w:rPr>
              <w:t>+</w:t>
            </w:r>
            <w:r w:rsidRPr="001278B6">
              <w:rPr>
                <w:b/>
                <w:bCs/>
                <w:snapToGrid w:val="0"/>
                <w:sz w:val="20"/>
                <w:lang w:val="da-DK"/>
              </w:rPr>
              <w:t xml:space="preserve"> </w:t>
            </w:r>
            <w:r w:rsidR="00C73E03">
              <w:rPr>
                <w:b/>
                <w:bCs/>
                <w:snapToGrid w:val="0"/>
                <w:sz w:val="20"/>
                <w:lang w:val="da-DK"/>
              </w:rPr>
              <w:t>Bevacizumab</w:t>
            </w:r>
            <w:r w:rsidRPr="001278B6">
              <w:rPr>
                <w:b/>
                <w:bCs/>
                <w:snapToGrid w:val="0"/>
                <w:sz w:val="20"/>
                <w:vertAlign w:val="superscript"/>
                <w:lang w:val="da-DK"/>
              </w:rPr>
              <w:t>a</w:t>
            </w:r>
          </w:p>
        </w:tc>
      </w:tr>
      <w:tr w:rsidR="003563EF" w:rsidRPr="005476B6" w14:paraId="04B804F3" w14:textId="77777777" w:rsidTr="00643E73">
        <w:tc>
          <w:tcPr>
            <w:tcW w:w="4481" w:type="dxa"/>
          </w:tcPr>
          <w:p w14:paraId="107DE94C" w14:textId="77777777" w:rsidR="003563EF" w:rsidRPr="001278B6" w:rsidRDefault="00473235" w:rsidP="00051658">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2293" w:type="dxa"/>
          </w:tcPr>
          <w:p w14:paraId="496BBCE9"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411</w:t>
            </w:r>
          </w:p>
        </w:tc>
        <w:tc>
          <w:tcPr>
            <w:tcW w:w="2322" w:type="dxa"/>
          </w:tcPr>
          <w:p w14:paraId="453B083E"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402</w:t>
            </w:r>
          </w:p>
        </w:tc>
      </w:tr>
      <w:tr w:rsidR="003563EF" w:rsidRPr="005476B6" w14:paraId="509EF7B8" w14:textId="77777777" w:rsidTr="00643E73">
        <w:tc>
          <w:tcPr>
            <w:tcW w:w="9096" w:type="dxa"/>
            <w:gridSpan w:val="3"/>
          </w:tcPr>
          <w:p w14:paraId="22A28A43" w14:textId="77777777" w:rsidR="003563EF" w:rsidRPr="001278B6" w:rsidRDefault="00473235" w:rsidP="00051658">
            <w:pPr>
              <w:pStyle w:val="TableParagraph"/>
              <w:keepNext/>
              <w:keepLines/>
              <w:widowControl/>
              <w:adjustRightInd w:val="0"/>
              <w:snapToGrid w:val="0"/>
              <w:rPr>
                <w:snapToGrid w:val="0"/>
                <w:sz w:val="20"/>
                <w:lang w:val="da-DK"/>
              </w:rPr>
            </w:pPr>
            <w:r w:rsidRPr="001278B6">
              <w:rPr>
                <w:snapToGrid w:val="0"/>
                <w:sz w:val="20"/>
                <w:lang w:val="da-DK"/>
              </w:rPr>
              <w:t>Samlet overlevelse</w:t>
            </w:r>
          </w:p>
        </w:tc>
      </w:tr>
      <w:tr w:rsidR="003563EF" w:rsidRPr="005476B6" w14:paraId="1B227E0A" w14:textId="77777777" w:rsidTr="00643E73">
        <w:tc>
          <w:tcPr>
            <w:tcW w:w="4481" w:type="dxa"/>
          </w:tcPr>
          <w:p w14:paraId="7D921D57" w14:textId="77777777" w:rsidR="003563EF" w:rsidRPr="001278B6" w:rsidRDefault="00910B72" w:rsidP="00051658">
            <w:pPr>
              <w:pStyle w:val="TableParagraph"/>
              <w:keepNext/>
              <w:keepLines/>
              <w:widowControl/>
              <w:tabs>
                <w:tab w:val="left" w:pos="284"/>
              </w:tabs>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tid (måneder)</w:t>
            </w:r>
          </w:p>
        </w:tc>
        <w:tc>
          <w:tcPr>
            <w:tcW w:w="2293" w:type="dxa"/>
          </w:tcPr>
          <w:p w14:paraId="697C8817"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15,6</w:t>
            </w:r>
          </w:p>
        </w:tc>
        <w:tc>
          <w:tcPr>
            <w:tcW w:w="2322" w:type="dxa"/>
          </w:tcPr>
          <w:p w14:paraId="697DD35D"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20,3</w:t>
            </w:r>
          </w:p>
        </w:tc>
      </w:tr>
      <w:tr w:rsidR="003563EF" w:rsidRPr="005476B6" w14:paraId="29393860" w14:textId="77777777" w:rsidTr="00643E73">
        <w:tc>
          <w:tcPr>
            <w:tcW w:w="4481" w:type="dxa"/>
          </w:tcPr>
          <w:p w14:paraId="154A04A7" w14:textId="77777777" w:rsidR="003563EF" w:rsidRPr="001278B6" w:rsidRDefault="00910B72" w:rsidP="001278B6">
            <w:pPr>
              <w:pStyle w:val="TableParagraph"/>
              <w:widowControl/>
              <w:tabs>
                <w:tab w:val="left" w:pos="284"/>
              </w:tabs>
              <w:adjustRightInd w:val="0"/>
              <w:snapToGrid w:val="0"/>
              <w:rPr>
                <w:snapToGrid w:val="0"/>
                <w:sz w:val="20"/>
                <w:lang w:val="da-DK"/>
              </w:rPr>
            </w:pPr>
            <w:r w:rsidRPr="001278B6">
              <w:rPr>
                <w:snapToGrid w:val="0"/>
                <w:sz w:val="20"/>
                <w:lang w:val="da-DK"/>
              </w:rPr>
              <w:tab/>
            </w:r>
            <w:r w:rsidR="00473235" w:rsidRPr="001278B6">
              <w:rPr>
                <w:snapToGrid w:val="0"/>
                <w:sz w:val="20"/>
                <w:lang w:val="da-DK"/>
              </w:rPr>
              <w:t>95 % konfidensinterval</w:t>
            </w:r>
          </w:p>
        </w:tc>
        <w:tc>
          <w:tcPr>
            <w:tcW w:w="2293" w:type="dxa"/>
          </w:tcPr>
          <w:p w14:paraId="53A124E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14,29</w:t>
            </w:r>
            <w:r w:rsidR="004B3750">
              <w:rPr>
                <w:snapToGrid w:val="0"/>
                <w:sz w:val="20"/>
                <w:lang w:val="da-DK"/>
              </w:rPr>
              <w:noBreakHyphen/>
            </w:r>
            <w:r w:rsidRPr="001278B6">
              <w:rPr>
                <w:snapToGrid w:val="0"/>
                <w:sz w:val="20"/>
                <w:lang w:val="da-DK"/>
              </w:rPr>
              <w:t>16,99</w:t>
            </w:r>
          </w:p>
        </w:tc>
        <w:tc>
          <w:tcPr>
            <w:tcW w:w="2322" w:type="dxa"/>
          </w:tcPr>
          <w:p w14:paraId="6812830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18,46</w:t>
            </w:r>
            <w:r w:rsidR="004B3750">
              <w:rPr>
                <w:snapToGrid w:val="0"/>
                <w:sz w:val="20"/>
                <w:lang w:val="da-DK"/>
              </w:rPr>
              <w:noBreakHyphen/>
            </w:r>
            <w:r w:rsidRPr="001278B6">
              <w:rPr>
                <w:snapToGrid w:val="0"/>
                <w:sz w:val="20"/>
                <w:lang w:val="da-DK"/>
              </w:rPr>
              <w:t>24,18</w:t>
            </w:r>
          </w:p>
        </w:tc>
      </w:tr>
      <w:tr w:rsidR="003563EF" w:rsidRPr="005476B6" w14:paraId="1E4F46DD" w14:textId="77777777" w:rsidTr="00643E73">
        <w:tc>
          <w:tcPr>
            <w:tcW w:w="4481" w:type="dxa"/>
          </w:tcPr>
          <w:p w14:paraId="13348163" w14:textId="77777777" w:rsidR="003563EF" w:rsidRPr="001278B6" w:rsidRDefault="00910B72" w:rsidP="001278B6">
            <w:pPr>
              <w:pStyle w:val="TableParagraph"/>
              <w:widowControl/>
              <w:tabs>
                <w:tab w:val="left" w:pos="243"/>
              </w:tabs>
              <w:adjustRightInd w:val="0"/>
              <w:snapToGrid w:val="0"/>
              <w:rPr>
                <w:snapToGrid w:val="0"/>
                <w:sz w:val="20"/>
                <w:lang w:val="da-DK"/>
              </w:rPr>
            </w:pPr>
            <w:r w:rsidRPr="001278B6">
              <w:rPr>
                <w:iCs/>
                <w:snapToGrid w:val="0"/>
                <w:sz w:val="20"/>
                <w:lang w:val="da-DK"/>
              </w:rPr>
              <w:tab/>
            </w:r>
            <w:r w:rsidR="00473235" w:rsidRPr="001278B6">
              <w:rPr>
                <w:iCs/>
                <w:snapToGrid w:val="0"/>
                <w:sz w:val="20"/>
                <w:lang w:val="da-DK"/>
              </w:rPr>
              <w:t>Hazard ra</w:t>
            </w:r>
            <w:r w:rsidR="00473235" w:rsidRPr="001278B6">
              <w:rPr>
                <w:snapToGrid w:val="0"/>
                <w:sz w:val="20"/>
                <w:lang w:val="da-DK"/>
              </w:rPr>
              <w:t>tio</w:t>
            </w:r>
            <w:r w:rsidR="00473235" w:rsidRPr="001278B6">
              <w:rPr>
                <w:snapToGrid w:val="0"/>
                <w:sz w:val="20"/>
                <w:vertAlign w:val="superscript"/>
                <w:lang w:val="da-DK"/>
              </w:rPr>
              <w:t>b</w:t>
            </w:r>
          </w:p>
        </w:tc>
        <w:tc>
          <w:tcPr>
            <w:tcW w:w="4615" w:type="dxa"/>
            <w:gridSpan w:val="2"/>
          </w:tcPr>
          <w:p w14:paraId="6054638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0,660</w:t>
            </w:r>
          </w:p>
          <w:p w14:paraId="207AB3C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0,00004)</w:t>
            </w:r>
          </w:p>
        </w:tc>
      </w:tr>
      <w:tr w:rsidR="003563EF" w:rsidRPr="005476B6" w14:paraId="5692988F" w14:textId="77777777" w:rsidTr="00643E73">
        <w:tc>
          <w:tcPr>
            <w:tcW w:w="9096" w:type="dxa"/>
            <w:gridSpan w:val="3"/>
          </w:tcPr>
          <w:p w14:paraId="625E4BE6"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Progressionsfri overlevelse</w:t>
            </w:r>
          </w:p>
        </w:tc>
      </w:tr>
      <w:tr w:rsidR="003563EF" w:rsidRPr="005476B6" w14:paraId="4FB08760" w14:textId="77777777" w:rsidTr="00643E73">
        <w:tc>
          <w:tcPr>
            <w:tcW w:w="4481" w:type="dxa"/>
          </w:tcPr>
          <w:p w14:paraId="50F39644" w14:textId="77777777" w:rsidR="003563EF" w:rsidRPr="001278B6" w:rsidRDefault="00910B72" w:rsidP="001278B6">
            <w:pPr>
              <w:pStyle w:val="TableParagraph"/>
              <w:widowControl/>
              <w:tabs>
                <w:tab w:val="left" w:pos="243"/>
              </w:tabs>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tid (måneder)</w:t>
            </w:r>
          </w:p>
        </w:tc>
        <w:tc>
          <w:tcPr>
            <w:tcW w:w="2293" w:type="dxa"/>
          </w:tcPr>
          <w:p w14:paraId="2BD8934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6,2</w:t>
            </w:r>
          </w:p>
        </w:tc>
        <w:tc>
          <w:tcPr>
            <w:tcW w:w="2322" w:type="dxa"/>
          </w:tcPr>
          <w:p w14:paraId="2E961BA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10,6</w:t>
            </w:r>
          </w:p>
        </w:tc>
      </w:tr>
      <w:tr w:rsidR="003563EF" w:rsidRPr="005476B6" w14:paraId="57B7A3E8" w14:textId="77777777" w:rsidTr="00643E73">
        <w:tc>
          <w:tcPr>
            <w:tcW w:w="4481" w:type="dxa"/>
          </w:tcPr>
          <w:p w14:paraId="42464B50" w14:textId="77777777" w:rsidR="003563EF" w:rsidRPr="001278B6" w:rsidRDefault="00910B72" w:rsidP="001278B6">
            <w:pPr>
              <w:pStyle w:val="TableParagraph"/>
              <w:widowControl/>
              <w:tabs>
                <w:tab w:val="left" w:pos="281"/>
              </w:tabs>
              <w:adjustRightInd w:val="0"/>
              <w:snapToGrid w:val="0"/>
              <w:rPr>
                <w:iCs/>
                <w:snapToGrid w:val="0"/>
                <w:sz w:val="20"/>
                <w:lang w:val="da-DK"/>
              </w:rPr>
            </w:pPr>
            <w:r w:rsidRPr="001278B6">
              <w:rPr>
                <w:iCs/>
                <w:snapToGrid w:val="0"/>
                <w:sz w:val="20"/>
                <w:lang w:val="da-DK"/>
              </w:rPr>
              <w:tab/>
            </w:r>
            <w:r w:rsidR="00473235" w:rsidRPr="001278B6">
              <w:rPr>
                <w:iCs/>
                <w:snapToGrid w:val="0"/>
                <w:sz w:val="20"/>
                <w:lang w:val="da-DK"/>
              </w:rPr>
              <w:t>Hazard ratio</w:t>
            </w:r>
          </w:p>
        </w:tc>
        <w:tc>
          <w:tcPr>
            <w:tcW w:w="4615" w:type="dxa"/>
            <w:gridSpan w:val="2"/>
          </w:tcPr>
          <w:p w14:paraId="1DC402F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0,54</w:t>
            </w:r>
          </w:p>
          <w:p w14:paraId="03B1D15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 xml:space="preserve">værdi </w:t>
            </w:r>
            <w:r w:rsidR="00E05047" w:rsidRPr="001278B6">
              <w:rPr>
                <w:rFonts w:ascii="Symbol" w:hAnsi="Symbol"/>
                <w:snapToGrid w:val="0"/>
                <w:sz w:val="20"/>
                <w:lang w:val="da-DK"/>
              </w:rPr>
              <w:t></w:t>
            </w:r>
            <w:r w:rsidRPr="001278B6">
              <w:rPr>
                <w:snapToGrid w:val="0"/>
                <w:sz w:val="20"/>
                <w:lang w:val="da-DK"/>
              </w:rPr>
              <w:t xml:space="preserve"> 0,0001)</w:t>
            </w:r>
          </w:p>
        </w:tc>
      </w:tr>
      <w:tr w:rsidR="003563EF" w:rsidRPr="005476B6" w14:paraId="1DA548EF" w14:textId="77777777" w:rsidTr="00643E73">
        <w:tc>
          <w:tcPr>
            <w:tcW w:w="9096" w:type="dxa"/>
            <w:gridSpan w:val="3"/>
          </w:tcPr>
          <w:p w14:paraId="3B17DDD0"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Samlet responsrate</w:t>
            </w:r>
          </w:p>
        </w:tc>
      </w:tr>
      <w:tr w:rsidR="003563EF" w:rsidRPr="005476B6" w14:paraId="1B5757DB" w14:textId="77777777" w:rsidTr="00643E73">
        <w:tc>
          <w:tcPr>
            <w:tcW w:w="4481" w:type="dxa"/>
          </w:tcPr>
          <w:p w14:paraId="68EBC087" w14:textId="77777777" w:rsidR="003563EF" w:rsidRPr="001278B6" w:rsidRDefault="00910B72" w:rsidP="001278B6">
            <w:pPr>
              <w:pStyle w:val="TableParagraph"/>
              <w:widowControl/>
              <w:tabs>
                <w:tab w:val="left" w:pos="262"/>
              </w:tabs>
              <w:adjustRightInd w:val="0"/>
              <w:snapToGrid w:val="0"/>
              <w:rPr>
                <w:snapToGrid w:val="0"/>
                <w:sz w:val="20"/>
                <w:lang w:val="da-DK"/>
              </w:rPr>
            </w:pPr>
            <w:r w:rsidRPr="001278B6">
              <w:rPr>
                <w:snapToGrid w:val="0"/>
                <w:sz w:val="20"/>
                <w:lang w:val="da-DK"/>
              </w:rPr>
              <w:tab/>
            </w:r>
            <w:r w:rsidR="00473235" w:rsidRPr="001278B6">
              <w:rPr>
                <w:snapToGrid w:val="0"/>
                <w:sz w:val="20"/>
                <w:lang w:val="da-DK"/>
              </w:rPr>
              <w:t>Rate (%)</w:t>
            </w:r>
          </w:p>
        </w:tc>
        <w:tc>
          <w:tcPr>
            <w:tcW w:w="2293" w:type="dxa"/>
          </w:tcPr>
          <w:p w14:paraId="3745F4B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34,8</w:t>
            </w:r>
          </w:p>
        </w:tc>
        <w:tc>
          <w:tcPr>
            <w:tcW w:w="2322" w:type="dxa"/>
          </w:tcPr>
          <w:p w14:paraId="11CA5CD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44,8</w:t>
            </w:r>
          </w:p>
        </w:tc>
      </w:tr>
      <w:tr w:rsidR="003563EF" w:rsidRPr="005476B6" w14:paraId="16B91579" w14:textId="77777777" w:rsidTr="00643E73">
        <w:tc>
          <w:tcPr>
            <w:tcW w:w="4481" w:type="dxa"/>
          </w:tcPr>
          <w:p w14:paraId="00D21A32" w14:textId="77777777" w:rsidR="003563EF" w:rsidRPr="001278B6" w:rsidRDefault="003563EF" w:rsidP="001278B6">
            <w:pPr>
              <w:pStyle w:val="TableParagraph"/>
              <w:widowControl/>
              <w:adjustRightInd w:val="0"/>
              <w:snapToGrid w:val="0"/>
              <w:rPr>
                <w:snapToGrid w:val="0"/>
                <w:sz w:val="20"/>
                <w:lang w:val="da-DK"/>
              </w:rPr>
            </w:pPr>
          </w:p>
        </w:tc>
        <w:tc>
          <w:tcPr>
            <w:tcW w:w="4615" w:type="dxa"/>
            <w:gridSpan w:val="2"/>
          </w:tcPr>
          <w:p w14:paraId="1743950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0,0036)</w:t>
            </w:r>
          </w:p>
        </w:tc>
      </w:tr>
    </w:tbl>
    <w:p w14:paraId="55797F76"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a</w:t>
      </w:r>
      <w:r w:rsidRPr="001278B6">
        <w:rPr>
          <w:snapToGrid w:val="0"/>
          <w:sz w:val="18"/>
          <w:szCs w:val="18"/>
          <w:lang w:val="da-DK"/>
        </w:rPr>
        <w:t xml:space="preserve"> 5</w:t>
      </w:r>
      <w:r w:rsidR="00006F4F">
        <w:rPr>
          <w:snapToGrid w:val="0"/>
          <w:sz w:val="18"/>
          <w:szCs w:val="18"/>
          <w:lang w:val="da-DK"/>
        </w:rPr>
        <w:t> mg</w:t>
      </w:r>
      <w:r w:rsidRPr="001278B6">
        <w:rPr>
          <w:snapToGrid w:val="0"/>
          <w:sz w:val="18"/>
          <w:szCs w:val="18"/>
          <w:lang w:val="da-DK"/>
        </w:rPr>
        <w:t>/kg hver 2. uge.</w:t>
      </w:r>
    </w:p>
    <w:p w14:paraId="311BB26A"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I forhold til kontrolarmen.</w:t>
      </w:r>
    </w:p>
    <w:p w14:paraId="0E9854E4" w14:textId="77777777" w:rsidR="003563EF" w:rsidRPr="001278B6" w:rsidRDefault="003563EF" w:rsidP="001278B6">
      <w:pPr>
        <w:pStyle w:val="a3"/>
        <w:widowControl/>
        <w:adjustRightInd w:val="0"/>
        <w:snapToGrid w:val="0"/>
        <w:rPr>
          <w:snapToGrid w:val="0"/>
          <w:lang w:val="da-DK"/>
        </w:rPr>
      </w:pPr>
    </w:p>
    <w:p w14:paraId="04FD7424" w14:textId="173C9334" w:rsidR="003563EF" w:rsidRPr="001278B6" w:rsidRDefault="00473235" w:rsidP="001278B6">
      <w:pPr>
        <w:pStyle w:val="a3"/>
        <w:widowControl/>
        <w:adjustRightInd w:val="0"/>
        <w:snapToGrid w:val="0"/>
        <w:rPr>
          <w:snapToGrid w:val="0"/>
          <w:lang w:val="da-DK"/>
        </w:rPr>
      </w:pPr>
      <w:r w:rsidRPr="001278B6">
        <w:rPr>
          <w:snapToGrid w:val="0"/>
          <w:lang w:val="da-DK"/>
        </w:rPr>
        <w:t>Blandt de 110 patienter randomiseret til arm 3 (5</w:t>
      </w:r>
      <w:r w:rsidR="004B3750">
        <w:rPr>
          <w:snapToGrid w:val="0"/>
          <w:lang w:val="da-DK"/>
        </w:rPr>
        <w:noBreakHyphen/>
      </w:r>
      <w:r w:rsidRPr="001278B6">
        <w:rPr>
          <w:snapToGrid w:val="0"/>
          <w:lang w:val="da-DK"/>
        </w:rPr>
        <w:t xml:space="preserve">FU/FA + </w:t>
      </w:r>
      <w:r w:rsidR="00C73E03">
        <w:rPr>
          <w:snapToGrid w:val="0"/>
          <w:lang w:val="da-DK"/>
        </w:rPr>
        <w:t>Bevacizumab</w:t>
      </w:r>
      <w:r w:rsidRPr="001278B6">
        <w:rPr>
          <w:snapToGrid w:val="0"/>
          <w:lang w:val="da-DK"/>
        </w:rPr>
        <w:t xml:space="preserve">) inden lukning af denne arm, var den mediane </w:t>
      </w:r>
      <w:r w:rsidR="00112733">
        <w:rPr>
          <w:snapToGrid w:val="0"/>
          <w:lang w:val="da-DK"/>
        </w:rPr>
        <w:t>OS</w:t>
      </w:r>
      <w:r w:rsidRPr="001278B6">
        <w:rPr>
          <w:snapToGrid w:val="0"/>
          <w:lang w:val="da-DK"/>
        </w:rPr>
        <w:t xml:space="preserve"> 18,3 måneder og den mediane </w:t>
      </w:r>
      <w:r w:rsidR="00112733">
        <w:rPr>
          <w:snapToGrid w:val="0"/>
          <w:lang w:val="da-DK"/>
        </w:rPr>
        <w:t>PFS</w:t>
      </w:r>
      <w:r w:rsidRPr="001278B6">
        <w:rPr>
          <w:snapToGrid w:val="0"/>
          <w:lang w:val="da-DK"/>
        </w:rPr>
        <w:t xml:space="preserve"> var 8,8</w:t>
      </w:r>
      <w:r w:rsidR="00475437">
        <w:rPr>
          <w:snapToGrid w:val="0"/>
          <w:lang w:val="da-DK"/>
        </w:rPr>
        <w:t> </w:t>
      </w:r>
      <w:r w:rsidRPr="001278B6">
        <w:rPr>
          <w:snapToGrid w:val="0"/>
          <w:lang w:val="da-DK"/>
        </w:rPr>
        <w:t>måneder.</w:t>
      </w:r>
    </w:p>
    <w:p w14:paraId="0A5D3D3B" w14:textId="77777777" w:rsidR="003563EF" w:rsidRPr="001278B6" w:rsidRDefault="003563EF" w:rsidP="001278B6">
      <w:pPr>
        <w:pStyle w:val="a3"/>
        <w:widowControl/>
        <w:adjustRightInd w:val="0"/>
        <w:snapToGrid w:val="0"/>
        <w:rPr>
          <w:snapToGrid w:val="0"/>
          <w:lang w:val="da-DK"/>
        </w:rPr>
      </w:pPr>
    </w:p>
    <w:p w14:paraId="3602C418"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AVF2192g</w:t>
      </w:r>
    </w:p>
    <w:p w14:paraId="2329A762" w14:textId="09E7F64E" w:rsidR="003563EF" w:rsidRPr="001278B6" w:rsidRDefault="00473235" w:rsidP="001278B6">
      <w:pPr>
        <w:pStyle w:val="a3"/>
        <w:widowControl/>
        <w:adjustRightInd w:val="0"/>
        <w:snapToGrid w:val="0"/>
        <w:rPr>
          <w:snapToGrid w:val="0"/>
          <w:lang w:val="da-DK"/>
        </w:rPr>
      </w:pPr>
      <w:r w:rsidRPr="001278B6">
        <w:rPr>
          <w:snapToGrid w:val="0"/>
          <w:lang w:val="da-DK"/>
        </w:rPr>
        <w:t>Studiet var et randomiseret, dobbeltblindet, aktivt kontrolleret, klinisk fase II</w:t>
      </w:r>
      <w:r w:rsidR="004B3750">
        <w:rPr>
          <w:snapToGrid w:val="0"/>
          <w:lang w:val="da-DK"/>
        </w:rPr>
        <w:noBreakHyphen/>
      </w:r>
      <w:r w:rsidRPr="001278B6">
        <w:rPr>
          <w:snapToGrid w:val="0"/>
          <w:lang w:val="da-DK"/>
        </w:rPr>
        <w:t xml:space="preserve">studie, som undersøgte effekt og sikkerhed af </w:t>
      </w:r>
      <w:r w:rsidR="00C73E03">
        <w:rPr>
          <w:snapToGrid w:val="0"/>
          <w:lang w:val="da-DK"/>
        </w:rPr>
        <w:t>bevacizumab</w:t>
      </w:r>
      <w:r w:rsidRPr="001278B6">
        <w:rPr>
          <w:snapToGrid w:val="0"/>
          <w:lang w:val="da-DK"/>
        </w:rPr>
        <w:t xml:space="preserve"> i kombination med 5</w:t>
      </w:r>
      <w:r w:rsidR="004B3750">
        <w:rPr>
          <w:snapToGrid w:val="0"/>
          <w:lang w:val="da-DK"/>
        </w:rPr>
        <w:noBreakHyphen/>
      </w:r>
      <w:r w:rsidRPr="001278B6">
        <w:rPr>
          <w:snapToGrid w:val="0"/>
          <w:lang w:val="da-DK"/>
        </w:rPr>
        <w:t>FU/FA som 1.</w:t>
      </w:r>
      <w:r w:rsidR="004B3750">
        <w:rPr>
          <w:snapToGrid w:val="0"/>
          <w:lang w:val="da-DK"/>
        </w:rPr>
        <w:noBreakHyphen/>
      </w:r>
      <w:r w:rsidRPr="001278B6">
        <w:rPr>
          <w:snapToGrid w:val="0"/>
          <w:lang w:val="da-DK"/>
        </w:rPr>
        <w:t>linjebehandling af metastatisk kolorektalkræft hos patienter, som ikke var optimale kandidater for 1.</w:t>
      </w:r>
      <w:r w:rsidR="004B3750">
        <w:rPr>
          <w:snapToGrid w:val="0"/>
          <w:lang w:val="da-DK"/>
        </w:rPr>
        <w:noBreakHyphen/>
      </w:r>
      <w:r w:rsidRPr="001278B6">
        <w:rPr>
          <w:snapToGrid w:val="0"/>
          <w:lang w:val="da-DK"/>
        </w:rPr>
        <w:t>linjebehandling med irinotecan. Der blev randomiseret 105 patienter til 5</w:t>
      </w:r>
      <w:r w:rsidR="004B3750">
        <w:rPr>
          <w:snapToGrid w:val="0"/>
          <w:lang w:val="da-DK"/>
        </w:rPr>
        <w:noBreakHyphen/>
      </w:r>
      <w:r w:rsidRPr="001278B6">
        <w:rPr>
          <w:snapToGrid w:val="0"/>
          <w:lang w:val="da-DK"/>
        </w:rPr>
        <w:t>FU/FA + placebo</w:t>
      </w:r>
      <w:r w:rsidR="004B3750">
        <w:rPr>
          <w:snapToGrid w:val="0"/>
          <w:lang w:val="da-DK"/>
        </w:rPr>
        <w:noBreakHyphen/>
      </w:r>
      <w:r w:rsidRPr="001278B6">
        <w:rPr>
          <w:snapToGrid w:val="0"/>
          <w:lang w:val="da-DK"/>
        </w:rPr>
        <w:t>armen og 104 patienter til</w:t>
      </w:r>
      <w:r w:rsidR="00F40AA2">
        <w:rPr>
          <w:snapToGrid w:val="0"/>
          <w:lang w:val="da-DK"/>
        </w:rPr>
        <w:t xml:space="preserve"> </w:t>
      </w:r>
      <w:r w:rsidRPr="001278B6">
        <w:rPr>
          <w:snapToGrid w:val="0"/>
          <w:lang w:val="da-DK"/>
        </w:rPr>
        <w:t>5</w:t>
      </w:r>
      <w:r w:rsidR="004B3750">
        <w:rPr>
          <w:snapToGrid w:val="0"/>
          <w:lang w:val="da-DK"/>
        </w:rPr>
        <w:noBreakHyphen/>
      </w:r>
      <w:r w:rsidRPr="001278B6">
        <w:rPr>
          <w:snapToGrid w:val="0"/>
          <w:lang w:val="da-DK"/>
        </w:rPr>
        <w:t xml:space="preserve">FU/FA + </w:t>
      </w:r>
      <w:r w:rsidR="00C73E03">
        <w:rPr>
          <w:snapToGrid w:val="0"/>
          <w:lang w:val="da-DK"/>
        </w:rPr>
        <w:t>bevacizumab</w:t>
      </w:r>
      <w:r w:rsidR="004B3750">
        <w:rPr>
          <w:snapToGrid w:val="0"/>
          <w:lang w:val="da-DK"/>
        </w:rPr>
        <w:noBreakHyphen/>
      </w:r>
      <w:r w:rsidRPr="001278B6">
        <w:rPr>
          <w:snapToGrid w:val="0"/>
          <w:lang w:val="da-DK"/>
        </w:rPr>
        <w:t>armen (5</w:t>
      </w:r>
      <w:r w:rsidR="002F1213">
        <w:rPr>
          <w:snapToGrid w:val="0"/>
          <w:lang w:val="da-DK"/>
        </w:rPr>
        <w:t> mg</w:t>
      </w:r>
      <w:r w:rsidRPr="001278B6">
        <w:rPr>
          <w:snapToGrid w:val="0"/>
          <w:lang w:val="da-DK"/>
        </w:rPr>
        <w:t>/kg hver 2. uge). Alle behandlinger fortsatte indtil progression af sygdommen. Sammenlignet med 5</w:t>
      </w:r>
      <w:r w:rsidR="004B3750">
        <w:rPr>
          <w:snapToGrid w:val="0"/>
          <w:lang w:val="da-DK"/>
        </w:rPr>
        <w:noBreakHyphen/>
      </w:r>
      <w:r w:rsidRPr="001278B6">
        <w:rPr>
          <w:snapToGrid w:val="0"/>
          <w:lang w:val="da-DK"/>
        </w:rPr>
        <w:t>FU/FA</w:t>
      </w:r>
      <w:r w:rsidR="004B3750">
        <w:rPr>
          <w:snapToGrid w:val="0"/>
          <w:lang w:val="da-DK"/>
        </w:rPr>
        <w:noBreakHyphen/>
      </w:r>
      <w:r w:rsidRPr="001278B6">
        <w:rPr>
          <w:snapToGrid w:val="0"/>
          <w:lang w:val="da-DK"/>
        </w:rPr>
        <w:t xml:space="preserve">kemoterapi alene medførte tillæg af </w:t>
      </w:r>
      <w:r w:rsidR="00C73E03">
        <w:rPr>
          <w:snapToGrid w:val="0"/>
          <w:lang w:val="da-DK"/>
        </w:rPr>
        <w:t>bevacizumab</w:t>
      </w:r>
      <w:r w:rsidRPr="001278B6">
        <w:rPr>
          <w:snapToGrid w:val="0"/>
          <w:lang w:val="da-DK"/>
        </w:rPr>
        <w:t xml:space="preserve"> 5</w:t>
      </w:r>
      <w:r w:rsidR="002F1213">
        <w:rPr>
          <w:snapToGrid w:val="0"/>
          <w:lang w:val="da-DK"/>
        </w:rPr>
        <w:t> mg</w:t>
      </w:r>
      <w:r w:rsidRPr="001278B6">
        <w:rPr>
          <w:snapToGrid w:val="0"/>
          <w:lang w:val="da-DK"/>
        </w:rPr>
        <w:t>/kg hver</w:t>
      </w:r>
      <w:r w:rsidR="00F0066E">
        <w:rPr>
          <w:snapToGrid w:val="0"/>
          <w:lang w:val="da-DK"/>
        </w:rPr>
        <w:t xml:space="preserve"> </w:t>
      </w:r>
      <w:r w:rsidRPr="001278B6">
        <w:rPr>
          <w:snapToGrid w:val="0"/>
          <w:lang w:val="da-DK"/>
        </w:rPr>
        <w:t>2. uge til 5</w:t>
      </w:r>
      <w:r w:rsidR="004B3750">
        <w:rPr>
          <w:snapToGrid w:val="0"/>
          <w:lang w:val="da-DK"/>
        </w:rPr>
        <w:noBreakHyphen/>
      </w:r>
      <w:r w:rsidRPr="001278B6">
        <w:rPr>
          <w:snapToGrid w:val="0"/>
          <w:lang w:val="da-DK"/>
        </w:rPr>
        <w:t xml:space="preserve">FU/FV en højere, objektive responsrater, signifikant længere </w:t>
      </w:r>
      <w:r w:rsidR="00E74A31">
        <w:rPr>
          <w:snapToGrid w:val="0"/>
          <w:lang w:val="da-DK"/>
        </w:rPr>
        <w:t>PFS</w:t>
      </w:r>
      <w:r w:rsidRPr="001278B6">
        <w:rPr>
          <w:snapToGrid w:val="0"/>
          <w:lang w:val="da-DK"/>
        </w:rPr>
        <w:t xml:space="preserve"> og en tendens til længere overlevelse.</w:t>
      </w:r>
    </w:p>
    <w:p w14:paraId="10072C34" w14:textId="77777777" w:rsidR="003563EF" w:rsidRPr="001278B6" w:rsidRDefault="003563EF" w:rsidP="001278B6">
      <w:pPr>
        <w:pStyle w:val="a3"/>
        <w:widowControl/>
        <w:adjustRightInd w:val="0"/>
        <w:snapToGrid w:val="0"/>
        <w:rPr>
          <w:snapToGrid w:val="0"/>
          <w:lang w:val="da-DK"/>
        </w:rPr>
      </w:pPr>
    </w:p>
    <w:p w14:paraId="7E3772F2" w14:textId="77777777" w:rsidR="003563EF" w:rsidRPr="001278B6" w:rsidRDefault="00473235" w:rsidP="001278B6">
      <w:pPr>
        <w:widowControl/>
        <w:adjustRightInd w:val="0"/>
        <w:snapToGrid w:val="0"/>
        <w:rPr>
          <w:i/>
          <w:snapToGrid w:val="0"/>
          <w:lang w:val="da-DK"/>
        </w:rPr>
      </w:pPr>
      <w:r w:rsidRPr="001278B6">
        <w:rPr>
          <w:i/>
          <w:snapToGrid w:val="0"/>
          <w:lang w:val="da-DK"/>
        </w:rPr>
        <w:t>AVF0780g</w:t>
      </w:r>
    </w:p>
    <w:p w14:paraId="3041A6A0" w14:textId="77777777" w:rsidR="002B7E7D" w:rsidRDefault="00473235" w:rsidP="001278B6">
      <w:pPr>
        <w:pStyle w:val="a3"/>
        <w:widowControl/>
        <w:adjustRightInd w:val="0"/>
        <w:snapToGrid w:val="0"/>
        <w:rPr>
          <w:snapToGrid w:val="0"/>
          <w:lang w:val="da-DK"/>
        </w:rPr>
      </w:pPr>
      <w:r w:rsidRPr="001278B6">
        <w:rPr>
          <w:snapToGrid w:val="0"/>
          <w:lang w:val="da-DK"/>
        </w:rPr>
        <w:t>Studiet var et åbent, randomiseret, aktivt kontrolleret, klinisk fase II</w:t>
      </w:r>
      <w:r w:rsidR="004B3750">
        <w:rPr>
          <w:snapToGrid w:val="0"/>
          <w:lang w:val="da-DK"/>
        </w:rPr>
        <w:noBreakHyphen/>
      </w:r>
      <w:r w:rsidRPr="001278B6">
        <w:rPr>
          <w:snapToGrid w:val="0"/>
          <w:lang w:val="da-DK"/>
        </w:rPr>
        <w:t xml:space="preserve">studie, som undersøgte </w:t>
      </w:r>
      <w:r w:rsidR="00C73E03">
        <w:rPr>
          <w:snapToGrid w:val="0"/>
          <w:lang w:val="da-DK"/>
        </w:rPr>
        <w:t>bevacizumab</w:t>
      </w:r>
      <w:r w:rsidRPr="001278B6">
        <w:rPr>
          <w:snapToGrid w:val="0"/>
          <w:lang w:val="da-DK"/>
        </w:rPr>
        <w:t xml:space="preserve"> i kombination med 5</w:t>
      </w:r>
      <w:r w:rsidR="004B3750">
        <w:rPr>
          <w:snapToGrid w:val="0"/>
          <w:lang w:val="da-DK"/>
        </w:rPr>
        <w:noBreakHyphen/>
      </w:r>
      <w:r w:rsidRPr="001278B6">
        <w:rPr>
          <w:snapToGrid w:val="0"/>
          <w:lang w:val="da-DK"/>
        </w:rPr>
        <w:t>FU/FA som 1.</w:t>
      </w:r>
      <w:r w:rsidR="004B3750">
        <w:rPr>
          <w:snapToGrid w:val="0"/>
          <w:lang w:val="da-DK"/>
        </w:rPr>
        <w:noBreakHyphen/>
      </w:r>
      <w:r w:rsidRPr="001278B6">
        <w:rPr>
          <w:snapToGrid w:val="0"/>
          <w:lang w:val="da-DK"/>
        </w:rPr>
        <w:t xml:space="preserve">linjebehandling af metastatisk kolorektalkræft. Den mediane alder var 64 år. 19 % af patienterne havde tidligere fået kemoterapi og 14 % havde tidligere fået strålebehandling. </w:t>
      </w:r>
    </w:p>
    <w:p w14:paraId="61A21393" w14:textId="77777777" w:rsidR="002B7E7D" w:rsidRDefault="002B7E7D" w:rsidP="001278B6">
      <w:pPr>
        <w:pStyle w:val="a3"/>
        <w:widowControl/>
        <w:adjustRightInd w:val="0"/>
        <w:snapToGrid w:val="0"/>
        <w:rPr>
          <w:snapToGrid w:val="0"/>
          <w:lang w:val="da-DK"/>
        </w:rPr>
      </w:pPr>
    </w:p>
    <w:p w14:paraId="21D5EB3C" w14:textId="10BEF444" w:rsidR="003563EF" w:rsidRPr="001278B6" w:rsidRDefault="00473235" w:rsidP="001278B6">
      <w:pPr>
        <w:pStyle w:val="a3"/>
        <w:widowControl/>
        <w:adjustRightInd w:val="0"/>
        <w:snapToGrid w:val="0"/>
        <w:rPr>
          <w:snapToGrid w:val="0"/>
          <w:lang w:val="da-DK"/>
        </w:rPr>
      </w:pPr>
      <w:r w:rsidRPr="001278B6">
        <w:rPr>
          <w:snapToGrid w:val="0"/>
          <w:lang w:val="da-DK"/>
        </w:rPr>
        <w:t>Der blev randomiseret 71 patienter til bolus 5</w:t>
      </w:r>
      <w:r w:rsidR="004B3750">
        <w:rPr>
          <w:snapToGrid w:val="0"/>
          <w:lang w:val="da-DK"/>
        </w:rPr>
        <w:noBreakHyphen/>
      </w:r>
      <w:r w:rsidRPr="001278B6">
        <w:rPr>
          <w:snapToGrid w:val="0"/>
          <w:lang w:val="da-DK"/>
        </w:rPr>
        <w:t>FU/FA eller 5</w:t>
      </w:r>
      <w:r w:rsidR="004B3750">
        <w:rPr>
          <w:snapToGrid w:val="0"/>
          <w:lang w:val="da-DK"/>
        </w:rPr>
        <w:noBreakHyphen/>
      </w:r>
      <w:r w:rsidRPr="001278B6">
        <w:rPr>
          <w:snapToGrid w:val="0"/>
          <w:lang w:val="da-DK"/>
        </w:rPr>
        <w:t xml:space="preserve">FU/FA + </w:t>
      </w:r>
      <w:r w:rsidR="002B7E7D">
        <w:rPr>
          <w:snapToGrid w:val="0"/>
          <w:lang w:val="da-DK"/>
        </w:rPr>
        <w:t>bevacizumab</w:t>
      </w:r>
      <w:r w:rsidR="00AD6243">
        <w:rPr>
          <w:snapToGrid w:val="0"/>
          <w:lang w:val="da-DK"/>
        </w:rPr>
        <w:t xml:space="preserve"> </w:t>
      </w:r>
      <w:r w:rsidRPr="001278B6">
        <w:rPr>
          <w:snapToGrid w:val="0"/>
          <w:lang w:val="da-DK"/>
        </w:rPr>
        <w:t>(5</w:t>
      </w:r>
      <w:r w:rsidR="00AD6243">
        <w:rPr>
          <w:snapToGrid w:val="0"/>
          <w:lang w:val="da-DK"/>
        </w:rPr>
        <w:t> </w:t>
      </w:r>
      <w:r w:rsidRPr="001278B6">
        <w:rPr>
          <w:snapToGrid w:val="0"/>
          <w:lang w:val="da-DK"/>
        </w:rPr>
        <w:t>mg/kg hver 2. uge). En tredje gruppe på 33 patienter fik bolus 5</w:t>
      </w:r>
      <w:r w:rsidR="004B3750">
        <w:rPr>
          <w:snapToGrid w:val="0"/>
          <w:lang w:val="da-DK"/>
        </w:rPr>
        <w:noBreakHyphen/>
      </w:r>
      <w:r w:rsidRPr="001278B6">
        <w:rPr>
          <w:snapToGrid w:val="0"/>
          <w:lang w:val="da-DK"/>
        </w:rPr>
        <w:t xml:space="preserve">FU/FA + </w:t>
      </w:r>
      <w:r w:rsidR="002B7E7D">
        <w:rPr>
          <w:snapToGrid w:val="0"/>
          <w:lang w:val="da-DK"/>
        </w:rPr>
        <w:t>bevacizumab</w:t>
      </w:r>
      <w:r w:rsidRPr="001278B6">
        <w:rPr>
          <w:snapToGrid w:val="0"/>
          <w:lang w:val="da-DK"/>
        </w:rPr>
        <w:t xml:space="preserve"> (10</w:t>
      </w:r>
      <w:r w:rsidR="002F1213">
        <w:rPr>
          <w:snapToGrid w:val="0"/>
          <w:lang w:val="da-DK"/>
        </w:rPr>
        <w:t> mg</w:t>
      </w:r>
      <w:r w:rsidRPr="001278B6">
        <w:rPr>
          <w:snapToGrid w:val="0"/>
          <w:lang w:val="da-DK"/>
        </w:rPr>
        <w:t>/kg hver</w:t>
      </w:r>
      <w:r w:rsidR="00AD6243">
        <w:rPr>
          <w:snapToGrid w:val="0"/>
          <w:lang w:val="da-DK"/>
        </w:rPr>
        <w:t xml:space="preserve"> 2. </w:t>
      </w:r>
      <w:r w:rsidRPr="001278B6">
        <w:rPr>
          <w:snapToGrid w:val="0"/>
          <w:lang w:val="da-DK"/>
        </w:rPr>
        <w:t xml:space="preserve">uge). Patienterne blev behandlet indtil progression af sygdommen. Det primære endepunkt for studiet var objektiv responsrate og </w:t>
      </w:r>
      <w:r w:rsidR="00E74A31">
        <w:rPr>
          <w:snapToGrid w:val="0"/>
          <w:lang w:val="da-DK"/>
        </w:rPr>
        <w:t>PFS</w:t>
      </w:r>
      <w:r w:rsidRPr="001278B6">
        <w:rPr>
          <w:snapToGrid w:val="0"/>
          <w:lang w:val="da-DK"/>
        </w:rPr>
        <w:t>. Sammenlignet med</w:t>
      </w:r>
      <w:r w:rsidR="00AD6243">
        <w:rPr>
          <w:snapToGrid w:val="0"/>
          <w:lang w:val="da-DK"/>
        </w:rPr>
        <w:t xml:space="preserve"> </w:t>
      </w:r>
      <w:r w:rsidRPr="001278B6">
        <w:rPr>
          <w:snapToGrid w:val="0"/>
          <w:lang w:val="da-DK"/>
        </w:rPr>
        <w:t>5</w:t>
      </w:r>
      <w:r w:rsidR="004B3750">
        <w:rPr>
          <w:snapToGrid w:val="0"/>
          <w:lang w:val="da-DK"/>
        </w:rPr>
        <w:noBreakHyphen/>
      </w:r>
      <w:r w:rsidRPr="001278B6">
        <w:rPr>
          <w:snapToGrid w:val="0"/>
          <w:lang w:val="da-DK"/>
        </w:rPr>
        <w:t>FU/FA</w:t>
      </w:r>
      <w:r w:rsidR="004B3750">
        <w:rPr>
          <w:snapToGrid w:val="0"/>
          <w:lang w:val="da-DK"/>
        </w:rPr>
        <w:noBreakHyphen/>
      </w:r>
      <w:r w:rsidRPr="001278B6">
        <w:rPr>
          <w:snapToGrid w:val="0"/>
          <w:lang w:val="da-DK"/>
        </w:rPr>
        <w:t xml:space="preserve">kemoterapi alene medførte tillæg af </w:t>
      </w:r>
      <w:r w:rsidR="002B7E7D">
        <w:rPr>
          <w:snapToGrid w:val="0"/>
          <w:lang w:val="da-DK"/>
        </w:rPr>
        <w:lastRenderedPageBreak/>
        <w:t>bevacizumab</w:t>
      </w:r>
      <w:r w:rsidRPr="001278B6">
        <w:rPr>
          <w:snapToGrid w:val="0"/>
          <w:lang w:val="da-DK"/>
        </w:rPr>
        <w:t xml:space="preserve"> 5</w:t>
      </w:r>
      <w:r w:rsidR="002F1213">
        <w:rPr>
          <w:snapToGrid w:val="0"/>
          <w:lang w:val="da-DK"/>
        </w:rPr>
        <w:t> mg</w:t>
      </w:r>
      <w:r w:rsidRPr="001278B6">
        <w:rPr>
          <w:snapToGrid w:val="0"/>
          <w:lang w:val="da-DK"/>
        </w:rPr>
        <w:t>/kg hver 2. uge til 5</w:t>
      </w:r>
      <w:r w:rsidR="004B3750">
        <w:rPr>
          <w:snapToGrid w:val="0"/>
          <w:lang w:val="da-DK"/>
        </w:rPr>
        <w:noBreakHyphen/>
      </w:r>
      <w:r w:rsidRPr="001278B6">
        <w:rPr>
          <w:snapToGrid w:val="0"/>
          <w:lang w:val="da-DK"/>
        </w:rPr>
        <w:t xml:space="preserve">FU/FA en højere, objektiv responsrate, længere </w:t>
      </w:r>
      <w:r w:rsidR="00E74A31">
        <w:rPr>
          <w:snapToGrid w:val="0"/>
          <w:lang w:val="da-DK"/>
        </w:rPr>
        <w:t>PFS</w:t>
      </w:r>
      <w:r w:rsidRPr="001278B6">
        <w:rPr>
          <w:snapToGrid w:val="0"/>
          <w:lang w:val="da-DK"/>
        </w:rPr>
        <w:t xml:space="preserve"> og en tendens til længere overlevelse (se tabel</w:t>
      </w:r>
      <w:r w:rsidR="00AD6243">
        <w:rPr>
          <w:snapToGrid w:val="0"/>
          <w:lang w:val="da-DK"/>
        </w:rPr>
        <w:t> </w:t>
      </w:r>
      <w:r w:rsidRPr="001278B6">
        <w:rPr>
          <w:snapToGrid w:val="0"/>
          <w:lang w:val="da-DK"/>
        </w:rPr>
        <w:t>5). Disse effektdata er konsistente med resultaterne fra studie AVF2107g.</w:t>
      </w:r>
    </w:p>
    <w:p w14:paraId="26AE27CD" w14:textId="77777777" w:rsidR="003563EF" w:rsidRPr="001278B6" w:rsidRDefault="003563EF" w:rsidP="001278B6">
      <w:pPr>
        <w:pStyle w:val="a3"/>
        <w:widowControl/>
        <w:adjustRightInd w:val="0"/>
        <w:snapToGrid w:val="0"/>
        <w:rPr>
          <w:snapToGrid w:val="0"/>
          <w:lang w:val="da-DK"/>
        </w:rPr>
      </w:pPr>
    </w:p>
    <w:p w14:paraId="0239B67F"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Effektdata fra studierne AVF0780g og AVF2192g, som undersøgte </w:t>
      </w:r>
      <w:r w:rsidR="002B7E7D">
        <w:rPr>
          <w:snapToGrid w:val="0"/>
          <w:lang w:val="da-DK"/>
        </w:rPr>
        <w:t>bevacizumab</w:t>
      </w:r>
      <w:r w:rsidRPr="001278B6">
        <w:rPr>
          <w:snapToGrid w:val="0"/>
          <w:lang w:val="da-DK"/>
        </w:rPr>
        <w:t xml:space="preserve"> i kombination med 5</w:t>
      </w:r>
      <w:r w:rsidR="004B3750">
        <w:rPr>
          <w:snapToGrid w:val="0"/>
          <w:lang w:val="da-DK"/>
        </w:rPr>
        <w:noBreakHyphen/>
      </w:r>
      <w:r w:rsidRPr="001278B6">
        <w:rPr>
          <w:snapToGrid w:val="0"/>
          <w:lang w:val="da-DK"/>
        </w:rPr>
        <w:t>FU/FA</w:t>
      </w:r>
      <w:r w:rsidR="004B3750">
        <w:rPr>
          <w:snapToGrid w:val="0"/>
          <w:lang w:val="da-DK"/>
        </w:rPr>
        <w:noBreakHyphen/>
      </w:r>
      <w:r w:rsidRPr="001278B6">
        <w:rPr>
          <w:snapToGrid w:val="0"/>
          <w:lang w:val="da-DK"/>
        </w:rPr>
        <w:t>kemoterapi, er sammenfattet i tabel 5.</w:t>
      </w:r>
    </w:p>
    <w:p w14:paraId="7B1AE380" w14:textId="77777777" w:rsidR="0079124A" w:rsidRPr="001278B6" w:rsidRDefault="0079124A" w:rsidP="001278B6">
      <w:pPr>
        <w:widowControl/>
        <w:adjustRightInd w:val="0"/>
        <w:snapToGrid w:val="0"/>
        <w:rPr>
          <w:snapToGrid w:val="0"/>
          <w:lang w:val="da-DK"/>
        </w:rPr>
      </w:pPr>
    </w:p>
    <w:p w14:paraId="51969CA3" w14:textId="77777777" w:rsidR="003563EF" w:rsidRPr="00765991" w:rsidRDefault="00473235" w:rsidP="00765991">
      <w:pPr>
        <w:ind w:left="1134" w:hanging="1134"/>
        <w:rPr>
          <w:b/>
          <w:bCs/>
          <w:snapToGrid w:val="0"/>
          <w:lang w:val="da-DK"/>
        </w:rPr>
      </w:pPr>
      <w:r w:rsidRPr="00765991">
        <w:rPr>
          <w:b/>
          <w:bCs/>
          <w:snapToGrid w:val="0"/>
          <w:lang w:val="da-DK"/>
        </w:rPr>
        <w:t>Tabel 5.</w:t>
      </w:r>
      <w:r w:rsidRPr="00765991">
        <w:rPr>
          <w:b/>
          <w:bCs/>
          <w:snapToGrid w:val="0"/>
          <w:lang w:val="da-DK"/>
        </w:rPr>
        <w:tab/>
        <w:t>Resultater for effekt i studierne AVF0780g og AVF2192g</w:t>
      </w:r>
    </w:p>
    <w:p w14:paraId="1A0402CB" w14:textId="77777777" w:rsidR="003563EF" w:rsidRPr="001278B6" w:rsidRDefault="003563EF" w:rsidP="00F55362">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970"/>
        <w:gridCol w:w="1521"/>
        <w:gridCol w:w="1522"/>
        <w:gridCol w:w="1108"/>
        <w:gridCol w:w="75"/>
        <w:gridCol w:w="1279"/>
      </w:tblGrid>
      <w:tr w:rsidR="003563EF" w:rsidRPr="005476B6" w14:paraId="1D090A9E" w14:textId="77777777" w:rsidTr="00F466A3">
        <w:tc>
          <w:tcPr>
            <w:tcW w:w="2660" w:type="dxa"/>
            <w:vMerge w:val="restart"/>
          </w:tcPr>
          <w:p w14:paraId="26EBD69A" w14:textId="77777777" w:rsidR="003563EF" w:rsidRPr="001278B6" w:rsidRDefault="003563EF" w:rsidP="00F55362">
            <w:pPr>
              <w:pStyle w:val="TableParagraph"/>
              <w:keepNext/>
              <w:keepLines/>
              <w:widowControl/>
              <w:adjustRightInd w:val="0"/>
              <w:snapToGrid w:val="0"/>
              <w:rPr>
                <w:snapToGrid w:val="0"/>
                <w:sz w:val="20"/>
                <w:lang w:val="da-DK"/>
              </w:rPr>
            </w:pPr>
          </w:p>
        </w:tc>
        <w:tc>
          <w:tcPr>
            <w:tcW w:w="4111" w:type="dxa"/>
            <w:gridSpan w:val="3"/>
          </w:tcPr>
          <w:p w14:paraId="409495E8"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AVF0780g</w:t>
            </w:r>
          </w:p>
        </w:tc>
        <w:tc>
          <w:tcPr>
            <w:tcW w:w="2521" w:type="dxa"/>
            <w:gridSpan w:val="3"/>
          </w:tcPr>
          <w:p w14:paraId="1F47B575"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AVF2192g</w:t>
            </w:r>
          </w:p>
        </w:tc>
      </w:tr>
      <w:tr w:rsidR="003563EF" w:rsidRPr="005476B6" w14:paraId="16042A5F" w14:textId="77777777" w:rsidTr="00F466A3">
        <w:tc>
          <w:tcPr>
            <w:tcW w:w="2660" w:type="dxa"/>
            <w:vMerge/>
            <w:tcBorders>
              <w:top w:val="nil"/>
            </w:tcBorders>
          </w:tcPr>
          <w:p w14:paraId="7EE92351" w14:textId="77777777" w:rsidR="003563EF" w:rsidRPr="001278B6" w:rsidRDefault="003563EF" w:rsidP="00F55362">
            <w:pPr>
              <w:keepNext/>
              <w:keepLines/>
              <w:widowControl/>
              <w:adjustRightInd w:val="0"/>
              <w:snapToGrid w:val="0"/>
              <w:rPr>
                <w:snapToGrid w:val="0"/>
                <w:sz w:val="20"/>
                <w:szCs w:val="2"/>
                <w:lang w:val="da-DK"/>
              </w:rPr>
            </w:pPr>
          </w:p>
        </w:tc>
        <w:tc>
          <w:tcPr>
            <w:tcW w:w="992" w:type="dxa"/>
          </w:tcPr>
          <w:p w14:paraId="50FCC50C"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5</w:t>
            </w:r>
            <w:r w:rsidR="004B3750">
              <w:rPr>
                <w:b/>
                <w:bCs/>
                <w:snapToGrid w:val="0"/>
                <w:sz w:val="20"/>
                <w:lang w:val="da-DK"/>
              </w:rPr>
              <w:noBreakHyphen/>
            </w:r>
            <w:r w:rsidRPr="001278B6">
              <w:rPr>
                <w:b/>
                <w:bCs/>
                <w:snapToGrid w:val="0"/>
                <w:sz w:val="20"/>
                <w:lang w:val="da-DK"/>
              </w:rPr>
              <w:t>FU/FA</w:t>
            </w:r>
          </w:p>
        </w:tc>
        <w:tc>
          <w:tcPr>
            <w:tcW w:w="1559" w:type="dxa"/>
          </w:tcPr>
          <w:p w14:paraId="0C20497C"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5</w:t>
            </w:r>
            <w:r w:rsidR="004B3750">
              <w:rPr>
                <w:b/>
                <w:bCs/>
                <w:snapToGrid w:val="0"/>
                <w:sz w:val="20"/>
                <w:lang w:val="da-DK"/>
              </w:rPr>
              <w:noBreakHyphen/>
            </w:r>
            <w:r w:rsidRPr="001278B6">
              <w:rPr>
                <w:b/>
                <w:bCs/>
                <w:snapToGrid w:val="0"/>
                <w:sz w:val="20"/>
                <w:lang w:val="da-DK"/>
              </w:rPr>
              <w:t xml:space="preserve">FU/FA </w:t>
            </w:r>
            <w:r w:rsidR="002249EC" w:rsidRPr="00A92059">
              <w:rPr>
                <w:b/>
                <w:bCs/>
                <w:sz w:val="20"/>
                <w:szCs w:val="20"/>
              </w:rPr>
              <w:t>+</w:t>
            </w:r>
            <w:r w:rsidR="002249EC">
              <w:rPr>
                <w:b/>
                <w:bCs/>
                <w:sz w:val="20"/>
                <w:szCs w:val="20"/>
              </w:rPr>
              <w:t xml:space="preserve"> </w:t>
            </w:r>
            <w:r w:rsidR="002B7E7D">
              <w:rPr>
                <w:b/>
                <w:bCs/>
                <w:sz w:val="20"/>
                <w:szCs w:val="20"/>
              </w:rPr>
              <w:t>Bevacizumab</w:t>
            </w:r>
            <w:r w:rsidRPr="001278B6">
              <w:rPr>
                <w:b/>
                <w:bCs/>
                <w:snapToGrid w:val="0"/>
                <w:sz w:val="20"/>
                <w:vertAlign w:val="superscript"/>
                <w:lang w:val="da-DK"/>
              </w:rPr>
              <w:t>a</w:t>
            </w:r>
          </w:p>
        </w:tc>
        <w:tc>
          <w:tcPr>
            <w:tcW w:w="1560" w:type="dxa"/>
          </w:tcPr>
          <w:p w14:paraId="4DAFD1A5"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5</w:t>
            </w:r>
            <w:r w:rsidR="004B3750">
              <w:rPr>
                <w:b/>
                <w:bCs/>
                <w:snapToGrid w:val="0"/>
                <w:sz w:val="20"/>
                <w:lang w:val="da-DK"/>
              </w:rPr>
              <w:noBreakHyphen/>
            </w:r>
            <w:r w:rsidRPr="001278B6">
              <w:rPr>
                <w:b/>
                <w:bCs/>
                <w:snapToGrid w:val="0"/>
                <w:sz w:val="20"/>
                <w:lang w:val="da-DK"/>
              </w:rPr>
              <w:t xml:space="preserve">FU/FA </w:t>
            </w:r>
            <w:r w:rsidR="002249EC" w:rsidRPr="00A92059">
              <w:rPr>
                <w:b/>
                <w:bCs/>
                <w:sz w:val="20"/>
                <w:szCs w:val="20"/>
              </w:rPr>
              <w:t>+</w:t>
            </w:r>
            <w:r w:rsidR="002249EC">
              <w:rPr>
                <w:b/>
                <w:bCs/>
                <w:snapToGrid w:val="0"/>
                <w:sz w:val="20"/>
                <w:lang w:val="da-DK"/>
              </w:rPr>
              <w:t xml:space="preserve"> </w:t>
            </w:r>
            <w:r w:rsidR="002B7E7D">
              <w:rPr>
                <w:b/>
                <w:bCs/>
                <w:snapToGrid w:val="0"/>
                <w:sz w:val="20"/>
                <w:lang w:val="da-DK"/>
              </w:rPr>
              <w:t>Bevacizumab</w:t>
            </w:r>
            <w:r w:rsidRPr="001278B6">
              <w:rPr>
                <w:b/>
                <w:bCs/>
                <w:snapToGrid w:val="0"/>
                <w:sz w:val="20"/>
                <w:vertAlign w:val="superscript"/>
                <w:lang w:val="da-DK"/>
              </w:rPr>
              <w:t>b</w:t>
            </w:r>
          </w:p>
        </w:tc>
        <w:tc>
          <w:tcPr>
            <w:tcW w:w="1134" w:type="dxa"/>
          </w:tcPr>
          <w:p w14:paraId="6D0A783C"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5</w:t>
            </w:r>
            <w:r w:rsidR="004B3750">
              <w:rPr>
                <w:b/>
                <w:bCs/>
                <w:snapToGrid w:val="0"/>
                <w:sz w:val="20"/>
                <w:lang w:val="da-DK"/>
              </w:rPr>
              <w:noBreakHyphen/>
            </w:r>
            <w:r w:rsidRPr="001278B6">
              <w:rPr>
                <w:b/>
                <w:bCs/>
                <w:snapToGrid w:val="0"/>
                <w:sz w:val="20"/>
                <w:lang w:val="da-DK"/>
              </w:rPr>
              <w:t>FU/FA +</w:t>
            </w:r>
            <w:r w:rsidR="0000517A">
              <w:rPr>
                <w:b/>
                <w:bCs/>
                <w:snapToGrid w:val="0"/>
                <w:sz w:val="20"/>
                <w:lang w:val="da-DK"/>
              </w:rPr>
              <w:t xml:space="preserve"> </w:t>
            </w:r>
            <w:r w:rsidRPr="001278B6">
              <w:rPr>
                <w:b/>
                <w:bCs/>
                <w:snapToGrid w:val="0"/>
                <w:sz w:val="20"/>
                <w:lang w:val="da-DK"/>
              </w:rPr>
              <w:t>placebo</w:t>
            </w:r>
          </w:p>
        </w:tc>
        <w:tc>
          <w:tcPr>
            <w:tcW w:w="1387" w:type="dxa"/>
            <w:gridSpan w:val="2"/>
          </w:tcPr>
          <w:p w14:paraId="45B39912" w14:textId="77777777" w:rsidR="003563EF" w:rsidRPr="001278B6" w:rsidRDefault="00473235" w:rsidP="00F55362">
            <w:pPr>
              <w:pStyle w:val="TableParagraph"/>
              <w:keepNext/>
              <w:keepLines/>
              <w:widowControl/>
              <w:adjustRightInd w:val="0"/>
              <w:snapToGrid w:val="0"/>
              <w:jc w:val="center"/>
              <w:rPr>
                <w:b/>
                <w:bCs/>
                <w:snapToGrid w:val="0"/>
                <w:sz w:val="20"/>
                <w:lang w:val="da-DK"/>
              </w:rPr>
            </w:pPr>
            <w:r w:rsidRPr="001278B6">
              <w:rPr>
                <w:b/>
                <w:bCs/>
                <w:snapToGrid w:val="0"/>
                <w:sz w:val="20"/>
                <w:lang w:val="da-DK"/>
              </w:rPr>
              <w:t>5</w:t>
            </w:r>
            <w:r w:rsidR="004B3750">
              <w:rPr>
                <w:b/>
                <w:bCs/>
                <w:snapToGrid w:val="0"/>
                <w:sz w:val="20"/>
                <w:lang w:val="da-DK"/>
              </w:rPr>
              <w:noBreakHyphen/>
            </w:r>
            <w:r w:rsidRPr="001278B6">
              <w:rPr>
                <w:b/>
                <w:bCs/>
                <w:snapToGrid w:val="0"/>
                <w:sz w:val="20"/>
                <w:lang w:val="da-DK"/>
              </w:rPr>
              <w:t>FU/FA +</w:t>
            </w:r>
            <w:r w:rsidR="0000517A">
              <w:rPr>
                <w:b/>
                <w:bCs/>
                <w:snapToGrid w:val="0"/>
                <w:sz w:val="20"/>
                <w:lang w:val="da-DK"/>
              </w:rPr>
              <w:t xml:space="preserve"> </w:t>
            </w:r>
            <w:r w:rsidR="002B7E7D">
              <w:rPr>
                <w:b/>
                <w:bCs/>
                <w:snapToGrid w:val="0"/>
                <w:sz w:val="20"/>
                <w:lang w:val="da-DK"/>
              </w:rPr>
              <w:t>Bevacizumab</w:t>
            </w:r>
          </w:p>
        </w:tc>
      </w:tr>
      <w:tr w:rsidR="003563EF" w:rsidRPr="005476B6" w14:paraId="576CE822" w14:textId="77777777" w:rsidTr="00F466A3">
        <w:tc>
          <w:tcPr>
            <w:tcW w:w="2660" w:type="dxa"/>
          </w:tcPr>
          <w:p w14:paraId="38DA4864"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992" w:type="dxa"/>
          </w:tcPr>
          <w:p w14:paraId="291801EA"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36</w:t>
            </w:r>
          </w:p>
        </w:tc>
        <w:tc>
          <w:tcPr>
            <w:tcW w:w="1559" w:type="dxa"/>
          </w:tcPr>
          <w:p w14:paraId="190E42D4"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35</w:t>
            </w:r>
          </w:p>
        </w:tc>
        <w:tc>
          <w:tcPr>
            <w:tcW w:w="1560" w:type="dxa"/>
          </w:tcPr>
          <w:p w14:paraId="53268A2B"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33</w:t>
            </w:r>
          </w:p>
        </w:tc>
        <w:tc>
          <w:tcPr>
            <w:tcW w:w="1211" w:type="dxa"/>
            <w:gridSpan w:val="2"/>
          </w:tcPr>
          <w:p w14:paraId="088F7495"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105</w:t>
            </w:r>
          </w:p>
        </w:tc>
        <w:tc>
          <w:tcPr>
            <w:tcW w:w="1310" w:type="dxa"/>
          </w:tcPr>
          <w:p w14:paraId="02782D42"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104</w:t>
            </w:r>
          </w:p>
        </w:tc>
      </w:tr>
      <w:tr w:rsidR="003563EF" w:rsidRPr="005476B6" w14:paraId="41E72917" w14:textId="77777777" w:rsidTr="00F466A3">
        <w:tc>
          <w:tcPr>
            <w:tcW w:w="9292" w:type="dxa"/>
            <w:gridSpan w:val="7"/>
          </w:tcPr>
          <w:p w14:paraId="0812522C"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Samlet overlevelse</w:t>
            </w:r>
          </w:p>
        </w:tc>
      </w:tr>
      <w:tr w:rsidR="003563EF" w:rsidRPr="005476B6" w14:paraId="048F53F1" w14:textId="77777777" w:rsidTr="00F466A3">
        <w:tc>
          <w:tcPr>
            <w:tcW w:w="2660" w:type="dxa"/>
          </w:tcPr>
          <w:p w14:paraId="5C203FA7" w14:textId="77777777" w:rsidR="003563EF" w:rsidRPr="001278B6" w:rsidRDefault="00904888" w:rsidP="00F466A3">
            <w:pPr>
              <w:pStyle w:val="TableParagraph"/>
              <w:keepNext/>
              <w:keepLines/>
              <w:widowControl/>
              <w:tabs>
                <w:tab w:val="left" w:pos="270"/>
              </w:tabs>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tid (måneder)</w:t>
            </w:r>
          </w:p>
        </w:tc>
        <w:tc>
          <w:tcPr>
            <w:tcW w:w="992" w:type="dxa"/>
          </w:tcPr>
          <w:p w14:paraId="5C36E3E0"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13,6</w:t>
            </w:r>
          </w:p>
        </w:tc>
        <w:tc>
          <w:tcPr>
            <w:tcW w:w="1559" w:type="dxa"/>
          </w:tcPr>
          <w:p w14:paraId="40D0EC08"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17,7</w:t>
            </w:r>
          </w:p>
        </w:tc>
        <w:tc>
          <w:tcPr>
            <w:tcW w:w="1560" w:type="dxa"/>
          </w:tcPr>
          <w:p w14:paraId="29FBB8B6"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15,2</w:t>
            </w:r>
          </w:p>
        </w:tc>
        <w:tc>
          <w:tcPr>
            <w:tcW w:w="1211" w:type="dxa"/>
            <w:gridSpan w:val="2"/>
          </w:tcPr>
          <w:p w14:paraId="38E9F4BC"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12,9</w:t>
            </w:r>
          </w:p>
        </w:tc>
        <w:tc>
          <w:tcPr>
            <w:tcW w:w="1310" w:type="dxa"/>
          </w:tcPr>
          <w:p w14:paraId="025EA93E"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16,6</w:t>
            </w:r>
          </w:p>
        </w:tc>
      </w:tr>
      <w:tr w:rsidR="003563EF" w:rsidRPr="005476B6" w14:paraId="03F084F5" w14:textId="77777777" w:rsidTr="00F466A3">
        <w:tc>
          <w:tcPr>
            <w:tcW w:w="2660" w:type="dxa"/>
          </w:tcPr>
          <w:p w14:paraId="099402AC" w14:textId="77777777" w:rsidR="003563EF" w:rsidRPr="001278B6" w:rsidRDefault="00411BA7" w:rsidP="00F466A3">
            <w:pPr>
              <w:pStyle w:val="TableParagraph"/>
              <w:keepNext/>
              <w:keepLines/>
              <w:widowControl/>
              <w:tabs>
                <w:tab w:val="left" w:pos="270"/>
              </w:tabs>
              <w:adjustRightInd w:val="0"/>
              <w:snapToGrid w:val="0"/>
              <w:rPr>
                <w:snapToGrid w:val="0"/>
                <w:sz w:val="20"/>
                <w:lang w:val="da-DK"/>
              </w:rPr>
            </w:pPr>
            <w:r>
              <w:rPr>
                <w:snapToGrid w:val="0"/>
                <w:sz w:val="20"/>
                <w:lang w:val="da-DK"/>
              </w:rPr>
              <w:tab/>
            </w:r>
            <w:r w:rsidR="00473235" w:rsidRPr="001278B6">
              <w:rPr>
                <w:snapToGrid w:val="0"/>
                <w:sz w:val="20"/>
                <w:lang w:val="da-DK"/>
              </w:rPr>
              <w:t>95 % konfidensinterval</w:t>
            </w:r>
          </w:p>
        </w:tc>
        <w:tc>
          <w:tcPr>
            <w:tcW w:w="992" w:type="dxa"/>
          </w:tcPr>
          <w:p w14:paraId="0E373AD9" w14:textId="77777777" w:rsidR="003563EF" w:rsidRPr="001278B6" w:rsidRDefault="003563EF" w:rsidP="00F466A3">
            <w:pPr>
              <w:pStyle w:val="TableParagraph"/>
              <w:keepNext/>
              <w:keepLines/>
              <w:widowControl/>
              <w:adjustRightInd w:val="0"/>
              <w:snapToGrid w:val="0"/>
              <w:rPr>
                <w:snapToGrid w:val="0"/>
                <w:sz w:val="20"/>
                <w:lang w:val="da-DK"/>
              </w:rPr>
            </w:pPr>
          </w:p>
        </w:tc>
        <w:tc>
          <w:tcPr>
            <w:tcW w:w="1559" w:type="dxa"/>
          </w:tcPr>
          <w:p w14:paraId="77D94E27" w14:textId="77777777" w:rsidR="003563EF" w:rsidRPr="001278B6" w:rsidRDefault="003563EF" w:rsidP="00F466A3">
            <w:pPr>
              <w:pStyle w:val="TableParagraph"/>
              <w:keepNext/>
              <w:keepLines/>
              <w:widowControl/>
              <w:adjustRightInd w:val="0"/>
              <w:snapToGrid w:val="0"/>
              <w:rPr>
                <w:snapToGrid w:val="0"/>
                <w:sz w:val="20"/>
                <w:lang w:val="da-DK"/>
              </w:rPr>
            </w:pPr>
          </w:p>
        </w:tc>
        <w:tc>
          <w:tcPr>
            <w:tcW w:w="1560" w:type="dxa"/>
          </w:tcPr>
          <w:p w14:paraId="669837BC" w14:textId="77777777" w:rsidR="003563EF" w:rsidRPr="001278B6" w:rsidRDefault="003563EF" w:rsidP="00F466A3">
            <w:pPr>
              <w:pStyle w:val="TableParagraph"/>
              <w:keepNext/>
              <w:keepLines/>
              <w:widowControl/>
              <w:adjustRightInd w:val="0"/>
              <w:snapToGrid w:val="0"/>
              <w:rPr>
                <w:snapToGrid w:val="0"/>
                <w:sz w:val="20"/>
                <w:lang w:val="da-DK"/>
              </w:rPr>
            </w:pPr>
          </w:p>
        </w:tc>
        <w:tc>
          <w:tcPr>
            <w:tcW w:w="1211" w:type="dxa"/>
            <w:gridSpan w:val="2"/>
          </w:tcPr>
          <w:p w14:paraId="789F1404"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 xml:space="preserve">10,35 </w:t>
            </w:r>
            <w:r w:rsidR="004B3750">
              <w:rPr>
                <w:snapToGrid w:val="0"/>
                <w:sz w:val="20"/>
                <w:lang w:val="da-DK"/>
              </w:rPr>
              <w:noBreakHyphen/>
            </w:r>
            <w:r w:rsidRPr="001278B6">
              <w:rPr>
                <w:snapToGrid w:val="0"/>
                <w:sz w:val="20"/>
                <w:lang w:val="da-DK"/>
              </w:rPr>
              <w:t xml:space="preserve"> 16,95</w:t>
            </w:r>
          </w:p>
        </w:tc>
        <w:tc>
          <w:tcPr>
            <w:tcW w:w="1310" w:type="dxa"/>
          </w:tcPr>
          <w:p w14:paraId="09CFCCCD"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 xml:space="preserve">13,63 </w:t>
            </w:r>
            <w:r w:rsidR="004B3750">
              <w:rPr>
                <w:snapToGrid w:val="0"/>
                <w:sz w:val="20"/>
                <w:lang w:val="da-DK"/>
              </w:rPr>
              <w:noBreakHyphen/>
            </w:r>
            <w:r w:rsidRPr="001278B6">
              <w:rPr>
                <w:snapToGrid w:val="0"/>
                <w:sz w:val="20"/>
                <w:lang w:val="da-DK"/>
              </w:rPr>
              <w:t xml:space="preserve"> 19,32</w:t>
            </w:r>
          </w:p>
        </w:tc>
      </w:tr>
      <w:tr w:rsidR="003563EF" w:rsidRPr="005476B6" w14:paraId="10AC4C7E" w14:textId="77777777" w:rsidTr="00F466A3">
        <w:tc>
          <w:tcPr>
            <w:tcW w:w="2660" w:type="dxa"/>
          </w:tcPr>
          <w:p w14:paraId="3D294C1F" w14:textId="77777777" w:rsidR="003563EF" w:rsidRPr="00345671" w:rsidRDefault="00904888" w:rsidP="00F466A3">
            <w:pPr>
              <w:pStyle w:val="TableParagraph"/>
              <w:keepNext/>
              <w:keepLines/>
              <w:widowControl/>
              <w:tabs>
                <w:tab w:val="left" w:pos="270"/>
              </w:tabs>
              <w:adjustRightInd w:val="0"/>
              <w:snapToGrid w:val="0"/>
              <w:rPr>
                <w:iCs/>
                <w:snapToGrid w:val="0"/>
                <w:sz w:val="20"/>
                <w:lang w:val="da-DK"/>
              </w:rPr>
            </w:pPr>
            <w:r w:rsidRPr="001278B6">
              <w:rPr>
                <w:iCs/>
                <w:snapToGrid w:val="0"/>
                <w:sz w:val="20"/>
                <w:lang w:val="da-DK"/>
              </w:rPr>
              <w:tab/>
            </w:r>
            <w:r w:rsidR="00473235" w:rsidRPr="00F466A3">
              <w:rPr>
                <w:iCs/>
                <w:snapToGrid w:val="0"/>
                <w:sz w:val="20"/>
                <w:lang w:val="da-DK"/>
              </w:rPr>
              <w:t>Hazard</w:t>
            </w:r>
            <w:r w:rsidR="00473235" w:rsidRPr="00345671">
              <w:rPr>
                <w:iCs/>
                <w:snapToGrid w:val="0"/>
                <w:sz w:val="20"/>
                <w:lang w:val="da-DK"/>
              </w:rPr>
              <w:t xml:space="preserve"> ratio</w:t>
            </w:r>
            <w:r w:rsidR="00473235" w:rsidRPr="00345671">
              <w:rPr>
                <w:iCs/>
                <w:snapToGrid w:val="0"/>
                <w:sz w:val="20"/>
                <w:vertAlign w:val="superscript"/>
                <w:lang w:val="da-DK"/>
              </w:rPr>
              <w:t>c</w:t>
            </w:r>
          </w:p>
        </w:tc>
        <w:tc>
          <w:tcPr>
            <w:tcW w:w="992" w:type="dxa"/>
          </w:tcPr>
          <w:p w14:paraId="745A260A" w14:textId="77777777" w:rsidR="003563EF" w:rsidRPr="001278B6" w:rsidRDefault="004B3750" w:rsidP="00F466A3">
            <w:pPr>
              <w:pStyle w:val="TableParagraph"/>
              <w:keepNext/>
              <w:keepLines/>
              <w:widowControl/>
              <w:adjustRightInd w:val="0"/>
              <w:snapToGrid w:val="0"/>
              <w:jc w:val="center"/>
              <w:rPr>
                <w:snapToGrid w:val="0"/>
                <w:sz w:val="20"/>
                <w:lang w:val="da-DK"/>
              </w:rPr>
            </w:pPr>
            <w:r>
              <w:rPr>
                <w:snapToGrid w:val="0"/>
                <w:sz w:val="20"/>
                <w:lang w:val="da-DK"/>
              </w:rPr>
              <w:noBreakHyphen/>
            </w:r>
          </w:p>
        </w:tc>
        <w:tc>
          <w:tcPr>
            <w:tcW w:w="1559" w:type="dxa"/>
          </w:tcPr>
          <w:p w14:paraId="4172333C"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0,52</w:t>
            </w:r>
          </w:p>
        </w:tc>
        <w:tc>
          <w:tcPr>
            <w:tcW w:w="1560" w:type="dxa"/>
          </w:tcPr>
          <w:p w14:paraId="55246A53"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1,01</w:t>
            </w:r>
          </w:p>
        </w:tc>
        <w:tc>
          <w:tcPr>
            <w:tcW w:w="1211" w:type="dxa"/>
            <w:gridSpan w:val="2"/>
          </w:tcPr>
          <w:p w14:paraId="710FD0B6" w14:textId="77777777" w:rsidR="003563EF" w:rsidRPr="001278B6" w:rsidRDefault="003563EF" w:rsidP="00F466A3">
            <w:pPr>
              <w:pStyle w:val="TableParagraph"/>
              <w:keepNext/>
              <w:keepLines/>
              <w:widowControl/>
              <w:adjustRightInd w:val="0"/>
              <w:snapToGrid w:val="0"/>
              <w:rPr>
                <w:snapToGrid w:val="0"/>
                <w:sz w:val="20"/>
                <w:lang w:val="da-DK"/>
              </w:rPr>
            </w:pPr>
          </w:p>
        </w:tc>
        <w:tc>
          <w:tcPr>
            <w:tcW w:w="1310" w:type="dxa"/>
          </w:tcPr>
          <w:p w14:paraId="06C6B8CD"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0,79</w:t>
            </w:r>
          </w:p>
        </w:tc>
      </w:tr>
      <w:tr w:rsidR="003563EF" w:rsidRPr="005476B6" w14:paraId="3284BEA6" w14:textId="77777777" w:rsidTr="00F466A3">
        <w:tc>
          <w:tcPr>
            <w:tcW w:w="2660" w:type="dxa"/>
          </w:tcPr>
          <w:p w14:paraId="3CFF4435" w14:textId="77777777" w:rsidR="003563EF" w:rsidRPr="001278B6" w:rsidRDefault="00904888" w:rsidP="00F466A3">
            <w:pPr>
              <w:pStyle w:val="TableParagraph"/>
              <w:keepNext/>
              <w:keepLines/>
              <w:widowControl/>
              <w:tabs>
                <w:tab w:val="left" w:pos="270"/>
              </w:tabs>
              <w:adjustRightInd w:val="0"/>
              <w:snapToGrid w:val="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992" w:type="dxa"/>
          </w:tcPr>
          <w:p w14:paraId="27E87534" w14:textId="77777777" w:rsidR="003563EF" w:rsidRPr="001278B6" w:rsidRDefault="003563EF" w:rsidP="00F466A3">
            <w:pPr>
              <w:pStyle w:val="TableParagraph"/>
              <w:keepNext/>
              <w:keepLines/>
              <w:widowControl/>
              <w:adjustRightInd w:val="0"/>
              <w:snapToGrid w:val="0"/>
              <w:rPr>
                <w:snapToGrid w:val="0"/>
                <w:sz w:val="20"/>
                <w:lang w:val="da-DK"/>
              </w:rPr>
            </w:pPr>
          </w:p>
        </w:tc>
        <w:tc>
          <w:tcPr>
            <w:tcW w:w="1559" w:type="dxa"/>
          </w:tcPr>
          <w:p w14:paraId="1BE51E77"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0,073</w:t>
            </w:r>
          </w:p>
        </w:tc>
        <w:tc>
          <w:tcPr>
            <w:tcW w:w="1560" w:type="dxa"/>
          </w:tcPr>
          <w:p w14:paraId="3FCE7526"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0,978</w:t>
            </w:r>
          </w:p>
        </w:tc>
        <w:tc>
          <w:tcPr>
            <w:tcW w:w="1211" w:type="dxa"/>
            <w:gridSpan w:val="2"/>
          </w:tcPr>
          <w:p w14:paraId="6E711C4D" w14:textId="77777777" w:rsidR="003563EF" w:rsidRPr="001278B6" w:rsidRDefault="003563EF" w:rsidP="00F466A3">
            <w:pPr>
              <w:pStyle w:val="TableParagraph"/>
              <w:keepNext/>
              <w:keepLines/>
              <w:widowControl/>
              <w:adjustRightInd w:val="0"/>
              <w:snapToGrid w:val="0"/>
              <w:rPr>
                <w:snapToGrid w:val="0"/>
                <w:sz w:val="20"/>
                <w:lang w:val="da-DK"/>
              </w:rPr>
            </w:pPr>
          </w:p>
        </w:tc>
        <w:tc>
          <w:tcPr>
            <w:tcW w:w="1310" w:type="dxa"/>
          </w:tcPr>
          <w:p w14:paraId="0457AC97"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0,16</w:t>
            </w:r>
          </w:p>
        </w:tc>
      </w:tr>
      <w:tr w:rsidR="003563EF" w:rsidRPr="005476B6" w14:paraId="7D6C426A" w14:textId="77777777" w:rsidTr="00F466A3">
        <w:tc>
          <w:tcPr>
            <w:tcW w:w="9292" w:type="dxa"/>
            <w:gridSpan w:val="7"/>
          </w:tcPr>
          <w:p w14:paraId="2992BD13"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Progressionsfri overlevelse</w:t>
            </w:r>
          </w:p>
        </w:tc>
      </w:tr>
      <w:tr w:rsidR="003563EF" w:rsidRPr="005476B6" w14:paraId="467105FC" w14:textId="77777777" w:rsidTr="00F466A3">
        <w:tc>
          <w:tcPr>
            <w:tcW w:w="2660" w:type="dxa"/>
          </w:tcPr>
          <w:p w14:paraId="3D3CC568"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Median tid (måneder)</w:t>
            </w:r>
          </w:p>
        </w:tc>
        <w:tc>
          <w:tcPr>
            <w:tcW w:w="992" w:type="dxa"/>
          </w:tcPr>
          <w:p w14:paraId="5F6E0C0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5,2</w:t>
            </w:r>
          </w:p>
        </w:tc>
        <w:tc>
          <w:tcPr>
            <w:tcW w:w="1559" w:type="dxa"/>
          </w:tcPr>
          <w:p w14:paraId="1BCF91C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9,0</w:t>
            </w:r>
          </w:p>
        </w:tc>
        <w:tc>
          <w:tcPr>
            <w:tcW w:w="1560" w:type="dxa"/>
          </w:tcPr>
          <w:p w14:paraId="05184C1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7,2</w:t>
            </w:r>
          </w:p>
        </w:tc>
        <w:tc>
          <w:tcPr>
            <w:tcW w:w="1211" w:type="dxa"/>
            <w:gridSpan w:val="2"/>
          </w:tcPr>
          <w:p w14:paraId="102C158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5,5</w:t>
            </w:r>
          </w:p>
        </w:tc>
        <w:tc>
          <w:tcPr>
            <w:tcW w:w="1310" w:type="dxa"/>
          </w:tcPr>
          <w:p w14:paraId="0642A99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9,2</w:t>
            </w:r>
          </w:p>
        </w:tc>
      </w:tr>
      <w:tr w:rsidR="003563EF" w:rsidRPr="005476B6" w14:paraId="28D0F0EB" w14:textId="77777777" w:rsidTr="00F466A3">
        <w:tc>
          <w:tcPr>
            <w:tcW w:w="2660" w:type="dxa"/>
          </w:tcPr>
          <w:p w14:paraId="78FF5F3F" w14:textId="77777777" w:rsidR="003563EF" w:rsidRPr="001278B6" w:rsidRDefault="00904888" w:rsidP="001278B6">
            <w:pPr>
              <w:pStyle w:val="TableParagraph"/>
              <w:widowControl/>
              <w:adjustRightInd w:val="0"/>
              <w:snapToGrid w:val="0"/>
              <w:ind w:left="270" w:hanging="270"/>
              <w:rPr>
                <w:iCs/>
                <w:snapToGrid w:val="0"/>
                <w:sz w:val="20"/>
                <w:lang w:val="da-DK"/>
              </w:rPr>
            </w:pPr>
            <w:r w:rsidRPr="00345671">
              <w:rPr>
                <w:iCs/>
                <w:snapToGrid w:val="0"/>
                <w:sz w:val="20"/>
                <w:lang w:val="da-DK"/>
              </w:rPr>
              <w:tab/>
            </w:r>
            <w:r w:rsidR="00473235" w:rsidRPr="00F466A3">
              <w:rPr>
                <w:iCs/>
                <w:snapToGrid w:val="0"/>
                <w:sz w:val="20"/>
                <w:lang w:val="da-DK"/>
              </w:rPr>
              <w:t>Hazard</w:t>
            </w:r>
            <w:r w:rsidR="00473235" w:rsidRPr="001278B6">
              <w:rPr>
                <w:iCs/>
                <w:snapToGrid w:val="0"/>
                <w:sz w:val="20"/>
                <w:lang w:val="da-DK"/>
              </w:rPr>
              <w:t xml:space="preserve"> ratio</w:t>
            </w:r>
          </w:p>
        </w:tc>
        <w:tc>
          <w:tcPr>
            <w:tcW w:w="992" w:type="dxa"/>
          </w:tcPr>
          <w:p w14:paraId="77F5F7C2" w14:textId="77777777" w:rsidR="003563EF" w:rsidRPr="001278B6" w:rsidRDefault="003563EF" w:rsidP="001278B6">
            <w:pPr>
              <w:pStyle w:val="TableParagraph"/>
              <w:widowControl/>
              <w:adjustRightInd w:val="0"/>
              <w:snapToGrid w:val="0"/>
              <w:rPr>
                <w:snapToGrid w:val="0"/>
                <w:sz w:val="20"/>
                <w:lang w:val="da-DK"/>
              </w:rPr>
            </w:pPr>
          </w:p>
        </w:tc>
        <w:tc>
          <w:tcPr>
            <w:tcW w:w="1559" w:type="dxa"/>
          </w:tcPr>
          <w:p w14:paraId="322EC1B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0,44</w:t>
            </w:r>
          </w:p>
        </w:tc>
        <w:tc>
          <w:tcPr>
            <w:tcW w:w="1560" w:type="dxa"/>
          </w:tcPr>
          <w:p w14:paraId="46C972A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0,69</w:t>
            </w:r>
          </w:p>
        </w:tc>
        <w:tc>
          <w:tcPr>
            <w:tcW w:w="1211" w:type="dxa"/>
            <w:gridSpan w:val="2"/>
          </w:tcPr>
          <w:p w14:paraId="394031DB" w14:textId="77777777" w:rsidR="003563EF" w:rsidRPr="001278B6" w:rsidRDefault="003563EF" w:rsidP="001278B6">
            <w:pPr>
              <w:pStyle w:val="TableParagraph"/>
              <w:widowControl/>
              <w:adjustRightInd w:val="0"/>
              <w:snapToGrid w:val="0"/>
              <w:rPr>
                <w:snapToGrid w:val="0"/>
                <w:sz w:val="20"/>
                <w:lang w:val="da-DK"/>
              </w:rPr>
            </w:pPr>
          </w:p>
        </w:tc>
        <w:tc>
          <w:tcPr>
            <w:tcW w:w="1310" w:type="dxa"/>
          </w:tcPr>
          <w:p w14:paraId="6EC5797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0,5</w:t>
            </w:r>
          </w:p>
        </w:tc>
      </w:tr>
      <w:tr w:rsidR="003563EF" w:rsidRPr="005476B6" w14:paraId="50EA1CAF" w14:textId="77777777" w:rsidTr="00F466A3">
        <w:tc>
          <w:tcPr>
            <w:tcW w:w="2660" w:type="dxa"/>
          </w:tcPr>
          <w:p w14:paraId="72B72D6D"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992" w:type="dxa"/>
          </w:tcPr>
          <w:p w14:paraId="7856A86E" w14:textId="77777777" w:rsidR="003563EF" w:rsidRPr="001278B6" w:rsidRDefault="004B3750" w:rsidP="001278B6">
            <w:pPr>
              <w:pStyle w:val="TableParagraph"/>
              <w:widowControl/>
              <w:adjustRightInd w:val="0"/>
              <w:snapToGrid w:val="0"/>
              <w:jc w:val="center"/>
              <w:rPr>
                <w:snapToGrid w:val="0"/>
                <w:sz w:val="20"/>
                <w:lang w:val="da-DK"/>
              </w:rPr>
            </w:pPr>
            <w:r>
              <w:rPr>
                <w:snapToGrid w:val="0"/>
                <w:sz w:val="20"/>
                <w:lang w:val="da-DK"/>
              </w:rPr>
              <w:noBreakHyphen/>
            </w:r>
          </w:p>
        </w:tc>
        <w:tc>
          <w:tcPr>
            <w:tcW w:w="1559" w:type="dxa"/>
          </w:tcPr>
          <w:p w14:paraId="2F886B4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0,0049</w:t>
            </w:r>
          </w:p>
        </w:tc>
        <w:tc>
          <w:tcPr>
            <w:tcW w:w="1560" w:type="dxa"/>
          </w:tcPr>
          <w:p w14:paraId="1F88BBF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0,217</w:t>
            </w:r>
          </w:p>
        </w:tc>
        <w:tc>
          <w:tcPr>
            <w:tcW w:w="1211" w:type="dxa"/>
            <w:gridSpan w:val="2"/>
          </w:tcPr>
          <w:p w14:paraId="5B9EE005" w14:textId="77777777" w:rsidR="003563EF" w:rsidRPr="001278B6" w:rsidRDefault="003563EF" w:rsidP="001278B6">
            <w:pPr>
              <w:pStyle w:val="TableParagraph"/>
              <w:widowControl/>
              <w:adjustRightInd w:val="0"/>
              <w:snapToGrid w:val="0"/>
              <w:rPr>
                <w:snapToGrid w:val="0"/>
                <w:sz w:val="20"/>
                <w:lang w:val="da-DK"/>
              </w:rPr>
            </w:pPr>
          </w:p>
        </w:tc>
        <w:tc>
          <w:tcPr>
            <w:tcW w:w="1310" w:type="dxa"/>
          </w:tcPr>
          <w:p w14:paraId="790506F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0,0002</w:t>
            </w:r>
          </w:p>
        </w:tc>
      </w:tr>
      <w:tr w:rsidR="003563EF" w:rsidRPr="005476B6" w14:paraId="06D91FFA" w14:textId="77777777" w:rsidTr="00F466A3">
        <w:tc>
          <w:tcPr>
            <w:tcW w:w="9292" w:type="dxa"/>
            <w:gridSpan w:val="7"/>
          </w:tcPr>
          <w:p w14:paraId="405B3A52"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Samlet responsrate</w:t>
            </w:r>
          </w:p>
        </w:tc>
      </w:tr>
      <w:tr w:rsidR="003563EF" w:rsidRPr="005476B6" w14:paraId="4E1C0BD6" w14:textId="77777777" w:rsidTr="00F466A3">
        <w:tc>
          <w:tcPr>
            <w:tcW w:w="2660" w:type="dxa"/>
          </w:tcPr>
          <w:p w14:paraId="52AC7889"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Rate (procent)</w:t>
            </w:r>
          </w:p>
        </w:tc>
        <w:tc>
          <w:tcPr>
            <w:tcW w:w="992" w:type="dxa"/>
          </w:tcPr>
          <w:p w14:paraId="3D98FAE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16,7</w:t>
            </w:r>
          </w:p>
        </w:tc>
        <w:tc>
          <w:tcPr>
            <w:tcW w:w="1559" w:type="dxa"/>
          </w:tcPr>
          <w:p w14:paraId="30DD852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40,0</w:t>
            </w:r>
          </w:p>
        </w:tc>
        <w:tc>
          <w:tcPr>
            <w:tcW w:w="1560" w:type="dxa"/>
          </w:tcPr>
          <w:p w14:paraId="3D49BC8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24,2</w:t>
            </w:r>
          </w:p>
        </w:tc>
        <w:tc>
          <w:tcPr>
            <w:tcW w:w="1211" w:type="dxa"/>
            <w:gridSpan w:val="2"/>
          </w:tcPr>
          <w:p w14:paraId="50D14F1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15,2</w:t>
            </w:r>
          </w:p>
        </w:tc>
        <w:tc>
          <w:tcPr>
            <w:tcW w:w="1310" w:type="dxa"/>
          </w:tcPr>
          <w:p w14:paraId="08D4285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26</w:t>
            </w:r>
          </w:p>
        </w:tc>
      </w:tr>
      <w:tr w:rsidR="003563EF" w:rsidRPr="005476B6" w14:paraId="604B41E0" w14:textId="77777777" w:rsidTr="00F466A3">
        <w:tc>
          <w:tcPr>
            <w:tcW w:w="2660" w:type="dxa"/>
          </w:tcPr>
          <w:p w14:paraId="24FEEB1C"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95 % konfidensinterval</w:t>
            </w:r>
          </w:p>
        </w:tc>
        <w:tc>
          <w:tcPr>
            <w:tcW w:w="992" w:type="dxa"/>
          </w:tcPr>
          <w:p w14:paraId="628E46E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7,0</w:t>
            </w:r>
            <w:r w:rsidR="004B3750">
              <w:rPr>
                <w:snapToGrid w:val="0"/>
                <w:sz w:val="20"/>
                <w:lang w:val="da-DK"/>
              </w:rPr>
              <w:noBreakHyphen/>
            </w:r>
            <w:r w:rsidRPr="001278B6">
              <w:rPr>
                <w:snapToGrid w:val="0"/>
                <w:sz w:val="20"/>
                <w:lang w:val="da-DK"/>
              </w:rPr>
              <w:t>33,5</w:t>
            </w:r>
          </w:p>
        </w:tc>
        <w:tc>
          <w:tcPr>
            <w:tcW w:w="1559" w:type="dxa"/>
          </w:tcPr>
          <w:p w14:paraId="0742A21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24,4</w:t>
            </w:r>
            <w:r w:rsidR="004B3750">
              <w:rPr>
                <w:snapToGrid w:val="0"/>
                <w:sz w:val="20"/>
                <w:lang w:val="da-DK"/>
              </w:rPr>
              <w:noBreakHyphen/>
            </w:r>
            <w:r w:rsidRPr="001278B6">
              <w:rPr>
                <w:snapToGrid w:val="0"/>
                <w:sz w:val="20"/>
                <w:lang w:val="da-DK"/>
              </w:rPr>
              <w:t>57,8</w:t>
            </w:r>
          </w:p>
        </w:tc>
        <w:tc>
          <w:tcPr>
            <w:tcW w:w="1560" w:type="dxa"/>
          </w:tcPr>
          <w:p w14:paraId="225169E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11,7</w:t>
            </w:r>
            <w:r w:rsidR="004B3750">
              <w:rPr>
                <w:snapToGrid w:val="0"/>
                <w:sz w:val="20"/>
                <w:lang w:val="da-DK"/>
              </w:rPr>
              <w:noBreakHyphen/>
            </w:r>
            <w:r w:rsidRPr="001278B6">
              <w:rPr>
                <w:snapToGrid w:val="0"/>
                <w:sz w:val="20"/>
                <w:lang w:val="da-DK"/>
              </w:rPr>
              <w:t>42,6</w:t>
            </w:r>
          </w:p>
        </w:tc>
        <w:tc>
          <w:tcPr>
            <w:tcW w:w="1211" w:type="dxa"/>
            <w:gridSpan w:val="2"/>
          </w:tcPr>
          <w:p w14:paraId="2859A8E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9,2</w:t>
            </w:r>
            <w:r w:rsidR="004B3750">
              <w:rPr>
                <w:snapToGrid w:val="0"/>
                <w:sz w:val="20"/>
                <w:lang w:val="da-DK"/>
              </w:rPr>
              <w:noBreakHyphen/>
            </w:r>
            <w:r w:rsidRPr="001278B6">
              <w:rPr>
                <w:snapToGrid w:val="0"/>
                <w:sz w:val="20"/>
                <w:lang w:val="da-DK"/>
              </w:rPr>
              <w:t>23,9</w:t>
            </w:r>
          </w:p>
        </w:tc>
        <w:tc>
          <w:tcPr>
            <w:tcW w:w="1310" w:type="dxa"/>
          </w:tcPr>
          <w:p w14:paraId="12B2614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18,1</w:t>
            </w:r>
            <w:r w:rsidR="004B3750">
              <w:rPr>
                <w:snapToGrid w:val="0"/>
                <w:sz w:val="20"/>
                <w:lang w:val="da-DK"/>
              </w:rPr>
              <w:noBreakHyphen/>
            </w:r>
            <w:r w:rsidRPr="001278B6">
              <w:rPr>
                <w:snapToGrid w:val="0"/>
                <w:sz w:val="20"/>
                <w:lang w:val="da-DK"/>
              </w:rPr>
              <w:t>35,6</w:t>
            </w:r>
          </w:p>
        </w:tc>
      </w:tr>
      <w:tr w:rsidR="003563EF" w:rsidRPr="005476B6" w14:paraId="502FB8E5" w14:textId="77777777" w:rsidTr="00F466A3">
        <w:tc>
          <w:tcPr>
            <w:tcW w:w="2660" w:type="dxa"/>
          </w:tcPr>
          <w:p w14:paraId="422B2117"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992" w:type="dxa"/>
          </w:tcPr>
          <w:p w14:paraId="0BA14CB8" w14:textId="77777777" w:rsidR="003563EF" w:rsidRPr="001278B6" w:rsidRDefault="003563EF" w:rsidP="001278B6">
            <w:pPr>
              <w:pStyle w:val="TableParagraph"/>
              <w:widowControl/>
              <w:adjustRightInd w:val="0"/>
              <w:snapToGrid w:val="0"/>
              <w:rPr>
                <w:snapToGrid w:val="0"/>
                <w:sz w:val="20"/>
                <w:lang w:val="da-DK"/>
              </w:rPr>
            </w:pPr>
          </w:p>
        </w:tc>
        <w:tc>
          <w:tcPr>
            <w:tcW w:w="1559" w:type="dxa"/>
          </w:tcPr>
          <w:p w14:paraId="4608EEC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0,029</w:t>
            </w:r>
          </w:p>
        </w:tc>
        <w:tc>
          <w:tcPr>
            <w:tcW w:w="1560" w:type="dxa"/>
          </w:tcPr>
          <w:p w14:paraId="5FBC5FF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0,43</w:t>
            </w:r>
          </w:p>
        </w:tc>
        <w:tc>
          <w:tcPr>
            <w:tcW w:w="1211" w:type="dxa"/>
            <w:gridSpan w:val="2"/>
          </w:tcPr>
          <w:p w14:paraId="58BB731B" w14:textId="77777777" w:rsidR="003563EF" w:rsidRPr="001278B6" w:rsidRDefault="003563EF" w:rsidP="001278B6">
            <w:pPr>
              <w:pStyle w:val="TableParagraph"/>
              <w:widowControl/>
              <w:adjustRightInd w:val="0"/>
              <w:snapToGrid w:val="0"/>
              <w:rPr>
                <w:snapToGrid w:val="0"/>
                <w:sz w:val="20"/>
                <w:lang w:val="da-DK"/>
              </w:rPr>
            </w:pPr>
          </w:p>
        </w:tc>
        <w:tc>
          <w:tcPr>
            <w:tcW w:w="1310" w:type="dxa"/>
          </w:tcPr>
          <w:p w14:paraId="2A3BB8D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0,055</w:t>
            </w:r>
          </w:p>
        </w:tc>
      </w:tr>
      <w:tr w:rsidR="003563EF" w:rsidRPr="005476B6" w14:paraId="76A25BE4" w14:textId="77777777" w:rsidTr="00F466A3">
        <w:tc>
          <w:tcPr>
            <w:tcW w:w="9292" w:type="dxa"/>
            <w:gridSpan w:val="7"/>
          </w:tcPr>
          <w:p w14:paraId="51D51563"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Responsvarighed</w:t>
            </w:r>
          </w:p>
        </w:tc>
      </w:tr>
      <w:tr w:rsidR="003563EF" w:rsidRPr="005476B6" w14:paraId="070CDEBE" w14:textId="77777777" w:rsidTr="00F466A3">
        <w:tc>
          <w:tcPr>
            <w:tcW w:w="2660" w:type="dxa"/>
          </w:tcPr>
          <w:p w14:paraId="4DAC2D5E"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Median tid (måneder)</w:t>
            </w:r>
          </w:p>
        </w:tc>
        <w:tc>
          <w:tcPr>
            <w:tcW w:w="992" w:type="dxa"/>
          </w:tcPr>
          <w:p w14:paraId="61554C9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NR</w:t>
            </w:r>
          </w:p>
        </w:tc>
        <w:tc>
          <w:tcPr>
            <w:tcW w:w="1559" w:type="dxa"/>
          </w:tcPr>
          <w:p w14:paraId="2067DD6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9,3</w:t>
            </w:r>
          </w:p>
        </w:tc>
        <w:tc>
          <w:tcPr>
            <w:tcW w:w="1560" w:type="dxa"/>
          </w:tcPr>
          <w:p w14:paraId="4BA47F4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5,0</w:t>
            </w:r>
          </w:p>
        </w:tc>
        <w:tc>
          <w:tcPr>
            <w:tcW w:w="1211" w:type="dxa"/>
            <w:gridSpan w:val="2"/>
          </w:tcPr>
          <w:p w14:paraId="00B35A4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6,8</w:t>
            </w:r>
          </w:p>
        </w:tc>
        <w:tc>
          <w:tcPr>
            <w:tcW w:w="1310" w:type="dxa"/>
          </w:tcPr>
          <w:p w14:paraId="7B9B11F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9,2</w:t>
            </w:r>
          </w:p>
        </w:tc>
      </w:tr>
      <w:tr w:rsidR="003563EF" w:rsidRPr="005476B6" w14:paraId="22EE8928" w14:textId="77777777" w:rsidTr="00F466A3">
        <w:tc>
          <w:tcPr>
            <w:tcW w:w="2660" w:type="dxa"/>
          </w:tcPr>
          <w:p w14:paraId="13C9CBE9" w14:textId="77777777" w:rsidR="003563EF" w:rsidRPr="001278B6" w:rsidRDefault="00904888" w:rsidP="001278B6">
            <w:pPr>
              <w:pStyle w:val="TableParagraph"/>
              <w:widowControl/>
              <w:adjustRightInd w:val="0"/>
              <w:snapToGrid w:val="0"/>
              <w:ind w:left="270" w:hanging="270"/>
              <w:rPr>
                <w:snapToGrid w:val="0"/>
                <w:sz w:val="20"/>
                <w:lang w:val="da-DK"/>
              </w:rPr>
            </w:pPr>
            <w:r w:rsidRPr="001278B6">
              <w:rPr>
                <w:snapToGrid w:val="0"/>
                <w:sz w:val="20"/>
                <w:lang w:val="da-DK"/>
              </w:rPr>
              <w:tab/>
            </w:r>
            <w:r w:rsidR="00473235" w:rsidRPr="001278B6">
              <w:rPr>
                <w:snapToGrid w:val="0"/>
                <w:sz w:val="20"/>
                <w:lang w:val="da-DK"/>
              </w:rPr>
              <w:t>25</w:t>
            </w:r>
            <w:r w:rsidR="004B3750">
              <w:rPr>
                <w:snapToGrid w:val="0"/>
                <w:sz w:val="20"/>
                <w:lang w:val="da-DK"/>
              </w:rPr>
              <w:noBreakHyphen/>
            </w:r>
            <w:r w:rsidR="00473235" w:rsidRPr="001278B6">
              <w:rPr>
                <w:snapToGrid w:val="0"/>
                <w:sz w:val="20"/>
                <w:lang w:val="da-DK"/>
              </w:rPr>
              <w:t>75 percentil (måneder)</w:t>
            </w:r>
          </w:p>
        </w:tc>
        <w:tc>
          <w:tcPr>
            <w:tcW w:w="992" w:type="dxa"/>
          </w:tcPr>
          <w:p w14:paraId="3FA0558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5,5</w:t>
            </w:r>
            <w:r w:rsidR="004B3750">
              <w:rPr>
                <w:snapToGrid w:val="0"/>
                <w:sz w:val="20"/>
                <w:lang w:val="da-DK"/>
              </w:rPr>
              <w:noBreakHyphen/>
            </w:r>
            <w:r w:rsidRPr="001278B6">
              <w:rPr>
                <w:snapToGrid w:val="0"/>
                <w:sz w:val="20"/>
                <w:lang w:val="da-DK"/>
              </w:rPr>
              <w:t>NR</w:t>
            </w:r>
          </w:p>
        </w:tc>
        <w:tc>
          <w:tcPr>
            <w:tcW w:w="1559" w:type="dxa"/>
          </w:tcPr>
          <w:p w14:paraId="04FEED0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6,1</w:t>
            </w:r>
            <w:r w:rsidR="004B3750">
              <w:rPr>
                <w:snapToGrid w:val="0"/>
                <w:sz w:val="20"/>
                <w:lang w:val="da-DK"/>
              </w:rPr>
              <w:noBreakHyphen/>
            </w:r>
            <w:r w:rsidRPr="001278B6">
              <w:rPr>
                <w:snapToGrid w:val="0"/>
                <w:sz w:val="20"/>
                <w:lang w:val="da-DK"/>
              </w:rPr>
              <w:t>NR</w:t>
            </w:r>
          </w:p>
        </w:tc>
        <w:tc>
          <w:tcPr>
            <w:tcW w:w="1560" w:type="dxa"/>
          </w:tcPr>
          <w:p w14:paraId="42D6C64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3,8</w:t>
            </w:r>
            <w:r w:rsidR="004B3750">
              <w:rPr>
                <w:snapToGrid w:val="0"/>
                <w:sz w:val="20"/>
                <w:lang w:val="da-DK"/>
              </w:rPr>
              <w:noBreakHyphen/>
            </w:r>
            <w:r w:rsidRPr="001278B6">
              <w:rPr>
                <w:snapToGrid w:val="0"/>
                <w:sz w:val="20"/>
                <w:lang w:val="da-DK"/>
              </w:rPr>
              <w:t>7,8</w:t>
            </w:r>
          </w:p>
        </w:tc>
        <w:tc>
          <w:tcPr>
            <w:tcW w:w="1211" w:type="dxa"/>
            <w:gridSpan w:val="2"/>
          </w:tcPr>
          <w:p w14:paraId="4480A0B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5,59</w:t>
            </w:r>
            <w:r w:rsidR="004B3750">
              <w:rPr>
                <w:snapToGrid w:val="0"/>
                <w:sz w:val="20"/>
                <w:lang w:val="da-DK"/>
              </w:rPr>
              <w:noBreakHyphen/>
            </w:r>
            <w:r w:rsidRPr="001278B6">
              <w:rPr>
                <w:snapToGrid w:val="0"/>
                <w:sz w:val="20"/>
                <w:lang w:val="da-DK"/>
              </w:rPr>
              <w:t>9,17</w:t>
            </w:r>
          </w:p>
        </w:tc>
        <w:tc>
          <w:tcPr>
            <w:tcW w:w="1310" w:type="dxa"/>
          </w:tcPr>
          <w:p w14:paraId="15A2D5B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5,88</w:t>
            </w:r>
            <w:r w:rsidR="004B3750">
              <w:rPr>
                <w:snapToGrid w:val="0"/>
                <w:sz w:val="20"/>
                <w:lang w:val="da-DK"/>
              </w:rPr>
              <w:noBreakHyphen/>
            </w:r>
            <w:r w:rsidRPr="001278B6">
              <w:rPr>
                <w:snapToGrid w:val="0"/>
                <w:sz w:val="20"/>
                <w:lang w:val="da-DK"/>
              </w:rPr>
              <w:t>13,01</w:t>
            </w:r>
          </w:p>
        </w:tc>
      </w:tr>
      <w:tr w:rsidR="003563EF" w:rsidRPr="00E202E4" w14:paraId="29F98BAD" w14:textId="77777777" w:rsidTr="00F466A3">
        <w:tc>
          <w:tcPr>
            <w:tcW w:w="9292" w:type="dxa"/>
            <w:gridSpan w:val="7"/>
            <w:tcBorders>
              <w:left w:val="nil"/>
              <w:bottom w:val="nil"/>
              <w:right w:val="nil"/>
            </w:tcBorders>
          </w:tcPr>
          <w:p w14:paraId="341080AC" w14:textId="77777777" w:rsidR="003563EF" w:rsidRPr="001278B6" w:rsidRDefault="00473235" w:rsidP="001278B6">
            <w:pPr>
              <w:pStyle w:val="TableParagraph"/>
              <w:widowControl/>
              <w:adjustRightInd w:val="0"/>
              <w:snapToGrid w:val="0"/>
              <w:rPr>
                <w:snapToGrid w:val="0"/>
                <w:sz w:val="18"/>
                <w:szCs w:val="21"/>
                <w:lang w:val="da-DK"/>
              </w:rPr>
            </w:pPr>
            <w:r w:rsidRPr="001278B6">
              <w:rPr>
                <w:snapToGrid w:val="0"/>
                <w:sz w:val="18"/>
                <w:szCs w:val="21"/>
                <w:vertAlign w:val="superscript"/>
                <w:lang w:val="da-DK"/>
              </w:rPr>
              <w:t>a</w:t>
            </w:r>
            <w:r w:rsidRPr="001278B6">
              <w:rPr>
                <w:snapToGrid w:val="0"/>
                <w:sz w:val="18"/>
                <w:szCs w:val="21"/>
                <w:lang w:val="da-DK"/>
              </w:rPr>
              <w:t xml:space="preserve"> 5 mg/kg hver 2. uge.</w:t>
            </w:r>
          </w:p>
          <w:p w14:paraId="782528B6" w14:textId="77777777" w:rsidR="003563EF" w:rsidRPr="001278B6" w:rsidRDefault="00473235" w:rsidP="001278B6">
            <w:pPr>
              <w:pStyle w:val="TableParagraph"/>
              <w:widowControl/>
              <w:adjustRightInd w:val="0"/>
              <w:snapToGrid w:val="0"/>
              <w:rPr>
                <w:snapToGrid w:val="0"/>
                <w:sz w:val="18"/>
                <w:szCs w:val="21"/>
                <w:lang w:val="da-DK"/>
              </w:rPr>
            </w:pPr>
            <w:r w:rsidRPr="001278B6">
              <w:rPr>
                <w:snapToGrid w:val="0"/>
                <w:sz w:val="18"/>
                <w:szCs w:val="21"/>
                <w:vertAlign w:val="superscript"/>
                <w:lang w:val="da-DK"/>
              </w:rPr>
              <w:t>b</w:t>
            </w:r>
            <w:r w:rsidRPr="001278B6">
              <w:rPr>
                <w:snapToGrid w:val="0"/>
                <w:sz w:val="18"/>
                <w:szCs w:val="21"/>
                <w:lang w:val="da-DK"/>
              </w:rPr>
              <w:t xml:space="preserve"> 10 mg/kg hver 2. uge.</w:t>
            </w:r>
          </w:p>
          <w:p w14:paraId="4497D357" w14:textId="77777777" w:rsidR="00675B54" w:rsidRDefault="00473235">
            <w:pPr>
              <w:pStyle w:val="TableParagraph"/>
              <w:widowControl/>
              <w:adjustRightInd w:val="0"/>
              <w:snapToGrid w:val="0"/>
              <w:rPr>
                <w:snapToGrid w:val="0"/>
                <w:sz w:val="18"/>
                <w:szCs w:val="21"/>
                <w:lang w:val="da-DK"/>
              </w:rPr>
            </w:pPr>
            <w:r w:rsidRPr="001278B6">
              <w:rPr>
                <w:snapToGrid w:val="0"/>
                <w:sz w:val="18"/>
                <w:szCs w:val="21"/>
                <w:vertAlign w:val="superscript"/>
                <w:lang w:val="da-DK"/>
              </w:rPr>
              <w:t>c</w:t>
            </w:r>
            <w:r w:rsidRPr="001278B6">
              <w:rPr>
                <w:snapToGrid w:val="0"/>
                <w:sz w:val="18"/>
                <w:szCs w:val="21"/>
                <w:lang w:val="da-DK"/>
              </w:rPr>
              <w:t xml:space="preserve"> I forhold til kontrolarmen. </w:t>
            </w:r>
          </w:p>
          <w:p w14:paraId="0F9388F3"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18"/>
                <w:szCs w:val="21"/>
                <w:lang w:val="da-DK"/>
              </w:rPr>
              <w:t>NR=ikke nået</w:t>
            </w:r>
            <w:r w:rsidRPr="001278B6">
              <w:rPr>
                <w:snapToGrid w:val="0"/>
                <w:sz w:val="20"/>
                <w:lang w:val="da-DK"/>
              </w:rPr>
              <w:t>.</w:t>
            </w:r>
          </w:p>
        </w:tc>
      </w:tr>
    </w:tbl>
    <w:p w14:paraId="65702491" w14:textId="77777777" w:rsidR="003563EF" w:rsidRPr="001278B6" w:rsidRDefault="003563EF" w:rsidP="001278B6">
      <w:pPr>
        <w:pStyle w:val="a3"/>
        <w:widowControl/>
        <w:adjustRightInd w:val="0"/>
        <w:snapToGrid w:val="0"/>
        <w:rPr>
          <w:b/>
          <w:snapToGrid w:val="0"/>
          <w:lang w:val="da-DK"/>
        </w:rPr>
      </w:pPr>
    </w:p>
    <w:p w14:paraId="1A37BBC6" w14:textId="77777777" w:rsidR="00EE0880" w:rsidRPr="001278B6" w:rsidRDefault="00473235" w:rsidP="001278B6">
      <w:pPr>
        <w:widowControl/>
        <w:adjustRightInd w:val="0"/>
        <w:snapToGrid w:val="0"/>
        <w:rPr>
          <w:i/>
          <w:snapToGrid w:val="0"/>
          <w:lang w:val="da-DK"/>
        </w:rPr>
      </w:pPr>
      <w:r w:rsidRPr="001278B6">
        <w:rPr>
          <w:i/>
          <w:snapToGrid w:val="0"/>
          <w:lang w:val="da-DK"/>
        </w:rPr>
        <w:t>NO16966</w:t>
      </w:r>
    </w:p>
    <w:p w14:paraId="672B6063" w14:textId="052CE57B" w:rsidR="003563EF" w:rsidRPr="001278B6" w:rsidRDefault="00473235" w:rsidP="001278B6">
      <w:pPr>
        <w:pStyle w:val="a3"/>
        <w:widowControl/>
        <w:adjustRightInd w:val="0"/>
        <w:snapToGrid w:val="0"/>
        <w:rPr>
          <w:snapToGrid w:val="0"/>
          <w:lang w:val="da-DK"/>
        </w:rPr>
      </w:pPr>
      <w:r w:rsidRPr="001278B6">
        <w:rPr>
          <w:snapToGrid w:val="0"/>
          <w:lang w:val="da-DK"/>
        </w:rPr>
        <w:t xml:space="preserve">Dette var et fase III, randomiseret, dobbeltblindet (med hensyn til bevacizumab), klinisk studie, hvori </w:t>
      </w:r>
      <w:r w:rsidR="002B7E7D">
        <w:rPr>
          <w:snapToGrid w:val="0"/>
          <w:lang w:val="da-DK"/>
        </w:rPr>
        <w:t>bevacizumab</w:t>
      </w:r>
      <w:r w:rsidRPr="001278B6">
        <w:rPr>
          <w:snapToGrid w:val="0"/>
          <w:lang w:val="da-DK"/>
        </w:rPr>
        <w:t xml:space="preserve"> 7,5</w:t>
      </w:r>
      <w:r w:rsidR="002F1213">
        <w:rPr>
          <w:snapToGrid w:val="0"/>
          <w:lang w:val="da-DK"/>
        </w:rPr>
        <w:t> mg</w:t>
      </w:r>
      <w:r w:rsidRPr="001278B6">
        <w:rPr>
          <w:snapToGrid w:val="0"/>
          <w:lang w:val="da-DK"/>
        </w:rPr>
        <w:t>/kg i kombination med oral capecitabin og i.v. oxaliplatin (XELOX) administreret hver</w:t>
      </w:r>
      <w:r w:rsidR="00F0066E">
        <w:rPr>
          <w:snapToGrid w:val="0"/>
          <w:lang w:val="da-DK"/>
        </w:rPr>
        <w:t xml:space="preserve"> 3. </w:t>
      </w:r>
      <w:r w:rsidRPr="001278B6">
        <w:rPr>
          <w:snapToGrid w:val="0"/>
          <w:lang w:val="da-DK"/>
        </w:rPr>
        <w:t xml:space="preserve">uge blev undersøgt i forhold til </w:t>
      </w:r>
      <w:r w:rsidR="002B7E7D">
        <w:rPr>
          <w:snapToGrid w:val="0"/>
          <w:lang w:val="da-DK"/>
        </w:rPr>
        <w:t>bevacizumab</w:t>
      </w:r>
      <w:r w:rsidRPr="001278B6">
        <w:rPr>
          <w:snapToGrid w:val="0"/>
          <w:lang w:val="da-DK"/>
        </w:rPr>
        <w:t xml:space="preserve"> 5</w:t>
      </w:r>
      <w:r w:rsidR="002F1213">
        <w:rPr>
          <w:snapToGrid w:val="0"/>
          <w:lang w:val="da-DK"/>
        </w:rPr>
        <w:t> mg</w:t>
      </w:r>
      <w:r w:rsidRPr="001278B6">
        <w:rPr>
          <w:snapToGrid w:val="0"/>
          <w:lang w:val="da-DK"/>
        </w:rPr>
        <w:t>/kg i kombination med leucovorin med 5</w:t>
      </w:r>
      <w:r w:rsidR="004B3750">
        <w:rPr>
          <w:snapToGrid w:val="0"/>
          <w:lang w:val="da-DK"/>
        </w:rPr>
        <w:noBreakHyphen/>
      </w:r>
      <w:r w:rsidRPr="001278B6">
        <w:rPr>
          <w:snapToGrid w:val="0"/>
          <w:lang w:val="da-DK"/>
        </w:rPr>
        <w:t>fluoruracil bolus efterfulgt af 5</w:t>
      </w:r>
      <w:r w:rsidR="004B3750">
        <w:rPr>
          <w:snapToGrid w:val="0"/>
          <w:lang w:val="da-DK"/>
        </w:rPr>
        <w:noBreakHyphen/>
      </w:r>
      <w:r w:rsidRPr="001278B6">
        <w:rPr>
          <w:snapToGrid w:val="0"/>
          <w:lang w:val="da-DK"/>
        </w:rPr>
        <w:t xml:space="preserve">fluoruracil infusion og </w:t>
      </w:r>
      <w:r w:rsidR="002B7E7D">
        <w:rPr>
          <w:snapToGrid w:val="0"/>
          <w:lang w:val="da-DK"/>
        </w:rPr>
        <w:t>intravenøs</w:t>
      </w:r>
      <w:r w:rsidRPr="001278B6">
        <w:rPr>
          <w:snapToGrid w:val="0"/>
          <w:lang w:val="da-DK"/>
        </w:rPr>
        <w:t xml:space="preserve"> oxaliplatin (FOLFOX</w:t>
      </w:r>
      <w:r w:rsidR="004B3750">
        <w:rPr>
          <w:snapToGrid w:val="0"/>
          <w:lang w:val="da-DK"/>
        </w:rPr>
        <w:noBreakHyphen/>
      </w:r>
      <w:r w:rsidRPr="001278B6">
        <w:rPr>
          <w:snapToGrid w:val="0"/>
          <w:lang w:val="da-DK"/>
        </w:rPr>
        <w:t>4), administreret hver 2. uge. Studiet bestod af to dele: en initial, ublindet 2</w:t>
      </w:r>
      <w:r w:rsidR="004B3750">
        <w:rPr>
          <w:snapToGrid w:val="0"/>
          <w:lang w:val="da-DK"/>
        </w:rPr>
        <w:noBreakHyphen/>
      </w:r>
      <w:r w:rsidRPr="001278B6">
        <w:rPr>
          <w:snapToGrid w:val="0"/>
          <w:lang w:val="da-DK"/>
        </w:rPr>
        <w:t>armet del (del 1) hvor patienterne blev randomiseret til to forskellige behandlingsarme (XELOX og FOLFOX</w:t>
      </w:r>
      <w:r w:rsidR="004B3750">
        <w:rPr>
          <w:snapToGrid w:val="0"/>
          <w:lang w:val="da-DK"/>
        </w:rPr>
        <w:noBreakHyphen/>
      </w:r>
      <w:r w:rsidRPr="001278B6">
        <w:rPr>
          <w:snapToGrid w:val="0"/>
          <w:lang w:val="da-DK"/>
        </w:rPr>
        <w:t>4) og en efterfølgende 2 x 2 faktor 4</w:t>
      </w:r>
      <w:r w:rsidR="004B3750">
        <w:rPr>
          <w:snapToGrid w:val="0"/>
          <w:lang w:val="da-DK"/>
        </w:rPr>
        <w:noBreakHyphen/>
      </w:r>
      <w:r w:rsidRPr="001278B6">
        <w:rPr>
          <w:snapToGrid w:val="0"/>
          <w:lang w:val="da-DK"/>
        </w:rPr>
        <w:t>armet del (del</w:t>
      </w:r>
      <w:r w:rsidR="00A32F2C">
        <w:rPr>
          <w:snapToGrid w:val="0"/>
          <w:lang w:val="da-DK"/>
        </w:rPr>
        <w:t> </w:t>
      </w:r>
      <w:r w:rsidRPr="001278B6">
        <w:rPr>
          <w:snapToGrid w:val="0"/>
          <w:lang w:val="da-DK"/>
        </w:rPr>
        <w:t>2), hvor patienterne blev randomiseret til fire behandlingsarme</w:t>
      </w:r>
      <w:r w:rsidR="00925632">
        <w:rPr>
          <w:snapToGrid w:val="0"/>
          <w:lang w:val="da-DK"/>
        </w:rPr>
        <w:t xml:space="preserve"> </w:t>
      </w:r>
      <w:r w:rsidRPr="001278B6">
        <w:rPr>
          <w:snapToGrid w:val="0"/>
          <w:lang w:val="da-DK"/>
        </w:rPr>
        <w:t>(XELOX + placebo, FOLFOX</w:t>
      </w:r>
      <w:r w:rsidR="004B3750">
        <w:rPr>
          <w:snapToGrid w:val="0"/>
          <w:lang w:val="da-DK"/>
        </w:rPr>
        <w:noBreakHyphen/>
      </w:r>
      <w:r w:rsidRPr="001278B6">
        <w:rPr>
          <w:snapToGrid w:val="0"/>
          <w:lang w:val="da-DK"/>
        </w:rPr>
        <w:t xml:space="preserve">4 + placebo, XELOX + </w:t>
      </w:r>
      <w:r w:rsidR="002B7E7D">
        <w:rPr>
          <w:snapToGrid w:val="0"/>
          <w:lang w:val="da-DK"/>
        </w:rPr>
        <w:t>bevacizumab</w:t>
      </w:r>
      <w:r w:rsidRPr="001278B6">
        <w:rPr>
          <w:snapToGrid w:val="0"/>
          <w:lang w:val="da-DK"/>
        </w:rPr>
        <w:t>, FOLFOX</w:t>
      </w:r>
      <w:r w:rsidR="004B3750">
        <w:rPr>
          <w:snapToGrid w:val="0"/>
          <w:lang w:val="da-DK"/>
        </w:rPr>
        <w:noBreakHyphen/>
      </w:r>
      <w:r w:rsidRPr="001278B6">
        <w:rPr>
          <w:snapToGrid w:val="0"/>
          <w:lang w:val="da-DK"/>
        </w:rPr>
        <w:t xml:space="preserve">4 + </w:t>
      </w:r>
      <w:r w:rsidR="002B7E7D">
        <w:rPr>
          <w:snapToGrid w:val="0"/>
          <w:lang w:val="da-DK"/>
        </w:rPr>
        <w:t>bevacizumab</w:t>
      </w:r>
      <w:r w:rsidRPr="001278B6">
        <w:rPr>
          <w:snapToGrid w:val="0"/>
          <w:lang w:val="da-DK"/>
        </w:rPr>
        <w:t xml:space="preserve">). I del 2 var tildeling af behandling dobbeltblindet i forhold til </w:t>
      </w:r>
      <w:r w:rsidR="002B7E7D">
        <w:rPr>
          <w:snapToGrid w:val="0"/>
          <w:lang w:val="da-DK"/>
        </w:rPr>
        <w:t>bevacizumab</w:t>
      </w:r>
      <w:r w:rsidRPr="001278B6">
        <w:rPr>
          <w:snapToGrid w:val="0"/>
          <w:lang w:val="da-DK"/>
        </w:rPr>
        <w:t>.</w:t>
      </w:r>
    </w:p>
    <w:p w14:paraId="061D9E6B" w14:textId="77777777" w:rsidR="003563EF" w:rsidRPr="001278B6" w:rsidRDefault="003563EF" w:rsidP="001278B6">
      <w:pPr>
        <w:pStyle w:val="a3"/>
        <w:widowControl/>
        <w:adjustRightInd w:val="0"/>
        <w:snapToGrid w:val="0"/>
        <w:rPr>
          <w:snapToGrid w:val="0"/>
          <w:lang w:val="da-DK"/>
        </w:rPr>
      </w:pPr>
    </w:p>
    <w:p w14:paraId="39532A4A" w14:textId="77777777" w:rsidR="003563EF" w:rsidRPr="001278B6" w:rsidRDefault="00473235" w:rsidP="001278B6">
      <w:pPr>
        <w:pStyle w:val="a3"/>
        <w:widowControl/>
        <w:adjustRightInd w:val="0"/>
        <w:snapToGrid w:val="0"/>
        <w:rPr>
          <w:snapToGrid w:val="0"/>
          <w:lang w:val="da-DK"/>
        </w:rPr>
      </w:pPr>
      <w:r w:rsidRPr="001278B6">
        <w:rPr>
          <w:snapToGrid w:val="0"/>
          <w:lang w:val="da-DK"/>
        </w:rPr>
        <w:t>Omkring 350 patienter blev randomiseret i hver af de 4 behandlingsarme i del 2 af studiet.</w:t>
      </w:r>
    </w:p>
    <w:p w14:paraId="468A344C" w14:textId="77777777" w:rsidR="0079124A" w:rsidRPr="001278B6" w:rsidRDefault="0079124A" w:rsidP="001278B6">
      <w:pPr>
        <w:widowControl/>
        <w:adjustRightInd w:val="0"/>
        <w:snapToGrid w:val="0"/>
        <w:rPr>
          <w:snapToGrid w:val="0"/>
          <w:lang w:val="da-DK"/>
        </w:rPr>
      </w:pPr>
    </w:p>
    <w:p w14:paraId="3F05122A" w14:textId="77777777" w:rsidR="003563EF" w:rsidRPr="00765991" w:rsidRDefault="00CA3C3C" w:rsidP="00765991">
      <w:pPr>
        <w:ind w:left="1134" w:hanging="1134"/>
        <w:rPr>
          <w:b/>
          <w:bCs/>
          <w:snapToGrid w:val="0"/>
          <w:lang w:val="da-DK"/>
        </w:rPr>
      </w:pPr>
      <w:r>
        <w:rPr>
          <w:snapToGrid w:val="0"/>
          <w:lang w:val="da-DK"/>
        </w:rPr>
        <w:br w:type="page"/>
      </w:r>
      <w:r w:rsidR="00473235" w:rsidRPr="00765991">
        <w:rPr>
          <w:b/>
          <w:bCs/>
          <w:snapToGrid w:val="0"/>
          <w:lang w:val="da-DK"/>
        </w:rPr>
        <w:lastRenderedPageBreak/>
        <w:t>Tabel 6.</w:t>
      </w:r>
      <w:r w:rsidR="00473235" w:rsidRPr="00765991">
        <w:rPr>
          <w:b/>
          <w:bCs/>
          <w:snapToGrid w:val="0"/>
          <w:lang w:val="da-DK"/>
        </w:rPr>
        <w:tab/>
        <w:t>Behandlingsregimer i studie NO16966 (mCRC)</w:t>
      </w:r>
    </w:p>
    <w:p w14:paraId="4096A4D5"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2"/>
        <w:gridCol w:w="1399"/>
        <w:gridCol w:w="2624"/>
        <w:gridCol w:w="3421"/>
      </w:tblGrid>
      <w:tr w:rsidR="003563EF" w:rsidRPr="005476B6" w14:paraId="6EB69CF7" w14:textId="77777777" w:rsidTr="00F466A3">
        <w:trPr>
          <w:cantSplit/>
        </w:trPr>
        <w:tc>
          <w:tcPr>
            <w:tcW w:w="1652" w:type="dxa"/>
          </w:tcPr>
          <w:p w14:paraId="6E3E5578" w14:textId="77777777" w:rsidR="003563EF" w:rsidRPr="001278B6" w:rsidRDefault="003563EF" w:rsidP="001278B6">
            <w:pPr>
              <w:pStyle w:val="TableParagraph"/>
              <w:keepNext/>
              <w:keepLines/>
              <w:widowControl/>
              <w:adjustRightInd w:val="0"/>
              <w:snapToGrid w:val="0"/>
              <w:rPr>
                <w:snapToGrid w:val="0"/>
                <w:sz w:val="20"/>
                <w:lang w:val="da-DK"/>
              </w:rPr>
            </w:pPr>
          </w:p>
        </w:tc>
        <w:tc>
          <w:tcPr>
            <w:tcW w:w="1433" w:type="dxa"/>
          </w:tcPr>
          <w:p w14:paraId="6861D17B"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Behandling</w:t>
            </w:r>
          </w:p>
        </w:tc>
        <w:tc>
          <w:tcPr>
            <w:tcW w:w="2693" w:type="dxa"/>
          </w:tcPr>
          <w:p w14:paraId="0BAE4350"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Startdosis</w:t>
            </w:r>
          </w:p>
        </w:tc>
        <w:tc>
          <w:tcPr>
            <w:tcW w:w="3514" w:type="dxa"/>
          </w:tcPr>
          <w:p w14:paraId="37590F8E"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Behandlingsskema</w:t>
            </w:r>
          </w:p>
        </w:tc>
      </w:tr>
      <w:tr w:rsidR="003563EF" w:rsidRPr="007E69C7" w14:paraId="0FCA5441" w14:textId="77777777" w:rsidTr="00F466A3">
        <w:trPr>
          <w:cantSplit/>
        </w:trPr>
        <w:tc>
          <w:tcPr>
            <w:tcW w:w="1652" w:type="dxa"/>
            <w:vMerge w:val="restart"/>
          </w:tcPr>
          <w:p w14:paraId="6EB09C8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FOLFOX</w:t>
            </w:r>
            <w:r w:rsidR="004B3750">
              <w:rPr>
                <w:snapToGrid w:val="0"/>
                <w:sz w:val="20"/>
                <w:lang w:val="da-DK"/>
              </w:rPr>
              <w:noBreakHyphen/>
            </w:r>
            <w:r w:rsidRPr="001278B6">
              <w:rPr>
                <w:snapToGrid w:val="0"/>
                <w:sz w:val="20"/>
                <w:lang w:val="da-DK"/>
              </w:rPr>
              <w:t>4</w:t>
            </w:r>
          </w:p>
          <w:p w14:paraId="0871B6FF" w14:textId="77777777" w:rsidR="00A32F2C" w:rsidRDefault="00473235">
            <w:pPr>
              <w:pStyle w:val="TableParagraph"/>
              <w:widowControl/>
              <w:adjustRightInd w:val="0"/>
              <w:snapToGrid w:val="0"/>
              <w:jc w:val="center"/>
              <w:rPr>
                <w:snapToGrid w:val="0"/>
                <w:sz w:val="20"/>
                <w:lang w:val="da-DK"/>
              </w:rPr>
            </w:pPr>
            <w:r w:rsidRPr="001278B6">
              <w:rPr>
                <w:snapToGrid w:val="0"/>
                <w:sz w:val="20"/>
                <w:lang w:val="da-DK"/>
              </w:rPr>
              <w:t xml:space="preserve">eller </w:t>
            </w:r>
          </w:p>
          <w:p w14:paraId="0D8600E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FOLFOX</w:t>
            </w:r>
            <w:r w:rsidR="004B3750">
              <w:rPr>
                <w:snapToGrid w:val="0"/>
                <w:sz w:val="20"/>
                <w:lang w:val="da-DK"/>
              </w:rPr>
              <w:noBreakHyphen/>
            </w:r>
            <w:r w:rsidRPr="001278B6">
              <w:rPr>
                <w:snapToGrid w:val="0"/>
                <w:sz w:val="20"/>
                <w:lang w:val="da-DK"/>
              </w:rPr>
              <w:t>4 +</w:t>
            </w:r>
            <w:r w:rsidR="00A32F2C">
              <w:rPr>
                <w:snapToGrid w:val="0"/>
                <w:sz w:val="20"/>
                <w:lang w:val="da-DK"/>
              </w:rPr>
              <w:t xml:space="preserve"> </w:t>
            </w:r>
            <w:r w:rsidR="002B7E7D">
              <w:rPr>
                <w:snapToGrid w:val="0"/>
                <w:sz w:val="20"/>
                <w:lang w:val="da-DK"/>
              </w:rPr>
              <w:t>Bevacizumab</w:t>
            </w:r>
          </w:p>
        </w:tc>
        <w:tc>
          <w:tcPr>
            <w:tcW w:w="1433" w:type="dxa"/>
            <w:tcBorders>
              <w:bottom w:val="nil"/>
            </w:tcBorders>
          </w:tcPr>
          <w:p w14:paraId="747BBD3A" w14:textId="77777777" w:rsidR="003563EF" w:rsidRDefault="00473235" w:rsidP="001278B6">
            <w:pPr>
              <w:pStyle w:val="TableParagraph"/>
              <w:widowControl/>
              <w:adjustRightInd w:val="0"/>
              <w:snapToGrid w:val="0"/>
              <w:rPr>
                <w:snapToGrid w:val="0"/>
                <w:sz w:val="20"/>
                <w:lang w:val="da-DK"/>
              </w:rPr>
            </w:pPr>
            <w:r w:rsidRPr="001278B6">
              <w:rPr>
                <w:snapToGrid w:val="0"/>
                <w:sz w:val="20"/>
                <w:lang w:val="da-DK"/>
              </w:rPr>
              <w:t>Oxaliplatin</w:t>
            </w:r>
          </w:p>
          <w:p w14:paraId="68DE1E9F" w14:textId="21FCA612" w:rsidR="00015B05" w:rsidRPr="001278B6" w:rsidRDefault="00015B05" w:rsidP="001278B6">
            <w:pPr>
              <w:pStyle w:val="TableParagraph"/>
              <w:widowControl/>
              <w:adjustRightInd w:val="0"/>
              <w:snapToGrid w:val="0"/>
              <w:rPr>
                <w:snapToGrid w:val="0"/>
                <w:sz w:val="20"/>
                <w:lang w:val="da-DK"/>
              </w:rPr>
            </w:pPr>
          </w:p>
        </w:tc>
        <w:tc>
          <w:tcPr>
            <w:tcW w:w="2693" w:type="dxa"/>
            <w:tcBorders>
              <w:bottom w:val="nil"/>
            </w:tcBorders>
          </w:tcPr>
          <w:p w14:paraId="2C499F24" w14:textId="77777777" w:rsidR="003563EF" w:rsidRPr="001278B6" w:rsidRDefault="00473235">
            <w:pPr>
              <w:pStyle w:val="TableParagraph"/>
              <w:widowControl/>
              <w:adjustRightInd w:val="0"/>
              <w:snapToGrid w:val="0"/>
              <w:rPr>
                <w:snapToGrid w:val="0"/>
                <w:sz w:val="20"/>
                <w:lang w:val="da-DK"/>
              </w:rPr>
            </w:pPr>
            <w:r w:rsidRPr="001278B6">
              <w:rPr>
                <w:snapToGrid w:val="0"/>
                <w:sz w:val="20"/>
                <w:lang w:val="da-DK"/>
              </w:rPr>
              <w:t>85</w:t>
            </w:r>
            <w:r w:rsidR="002F1213">
              <w:rPr>
                <w:snapToGrid w:val="0"/>
                <w:sz w:val="20"/>
                <w:lang w:val="da-DK"/>
              </w:rPr>
              <w:t> mg</w:t>
            </w:r>
            <w:r w:rsidRPr="001278B6">
              <w:rPr>
                <w:snapToGrid w:val="0"/>
                <w:sz w:val="20"/>
                <w:lang w:val="da-DK"/>
              </w:rPr>
              <w:t>/m</w:t>
            </w:r>
            <w:r w:rsidRPr="001278B6">
              <w:rPr>
                <w:snapToGrid w:val="0"/>
                <w:sz w:val="20"/>
                <w:vertAlign w:val="superscript"/>
                <w:lang w:val="da-DK"/>
              </w:rPr>
              <w:t>2</w:t>
            </w:r>
            <w:r w:rsidRPr="001278B6">
              <w:rPr>
                <w:snapToGrid w:val="0"/>
                <w:sz w:val="20"/>
                <w:lang w:val="da-DK"/>
              </w:rPr>
              <w:t xml:space="preserve"> i</w:t>
            </w:r>
            <w:r w:rsidR="002B7E7D">
              <w:rPr>
                <w:snapToGrid w:val="0"/>
                <w:sz w:val="20"/>
                <w:lang w:val="da-DK"/>
              </w:rPr>
              <w:t>ntravenøst</w:t>
            </w:r>
            <w:r w:rsidRPr="001278B6">
              <w:rPr>
                <w:snapToGrid w:val="0"/>
                <w:sz w:val="20"/>
                <w:lang w:val="da-DK"/>
              </w:rPr>
              <w:t xml:space="preserve"> 2 timer</w:t>
            </w:r>
          </w:p>
        </w:tc>
        <w:tc>
          <w:tcPr>
            <w:tcW w:w="3514" w:type="dxa"/>
            <w:vMerge w:val="restart"/>
          </w:tcPr>
          <w:p w14:paraId="1F6AF8B4" w14:textId="6634487D" w:rsidR="007544AC" w:rsidRDefault="00473235">
            <w:pPr>
              <w:pStyle w:val="TableParagraph"/>
              <w:widowControl/>
              <w:adjustRightInd w:val="0"/>
              <w:snapToGrid w:val="0"/>
              <w:rPr>
                <w:snapToGrid w:val="0"/>
                <w:sz w:val="20"/>
                <w:lang w:val="da-DK"/>
              </w:rPr>
            </w:pPr>
            <w:r w:rsidRPr="001278B6">
              <w:rPr>
                <w:snapToGrid w:val="0"/>
                <w:sz w:val="20"/>
                <w:lang w:val="da-DK"/>
              </w:rPr>
              <w:t xml:space="preserve">Oxaliplatin på dag 1 </w:t>
            </w:r>
          </w:p>
          <w:p w14:paraId="7ECDC63D" w14:textId="77777777" w:rsidR="00015B05" w:rsidRDefault="00015B05">
            <w:pPr>
              <w:pStyle w:val="TableParagraph"/>
              <w:widowControl/>
              <w:adjustRightInd w:val="0"/>
              <w:snapToGrid w:val="0"/>
              <w:rPr>
                <w:snapToGrid w:val="0"/>
                <w:sz w:val="20"/>
                <w:lang w:val="da-DK"/>
              </w:rPr>
            </w:pPr>
          </w:p>
          <w:p w14:paraId="65D3D5F3" w14:textId="373B0267" w:rsidR="003563EF" w:rsidRDefault="00473235" w:rsidP="001278B6">
            <w:pPr>
              <w:pStyle w:val="TableParagraph"/>
              <w:widowControl/>
              <w:adjustRightInd w:val="0"/>
              <w:snapToGrid w:val="0"/>
              <w:rPr>
                <w:snapToGrid w:val="0"/>
                <w:sz w:val="20"/>
                <w:lang w:val="da-DK"/>
              </w:rPr>
            </w:pPr>
            <w:r w:rsidRPr="001278B6">
              <w:rPr>
                <w:snapToGrid w:val="0"/>
                <w:sz w:val="20"/>
                <w:lang w:val="da-DK"/>
              </w:rPr>
              <w:t>Leucovorin på dag 1 og 2</w:t>
            </w:r>
          </w:p>
          <w:p w14:paraId="6DD80727" w14:textId="77777777" w:rsidR="00015B05" w:rsidRPr="001278B6" w:rsidRDefault="00015B05" w:rsidP="001278B6">
            <w:pPr>
              <w:pStyle w:val="TableParagraph"/>
              <w:widowControl/>
              <w:adjustRightInd w:val="0"/>
              <w:snapToGrid w:val="0"/>
              <w:rPr>
                <w:snapToGrid w:val="0"/>
                <w:sz w:val="20"/>
                <w:lang w:val="da-DK"/>
              </w:rPr>
            </w:pPr>
          </w:p>
          <w:p w14:paraId="0AC3ACD6"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5</w:t>
            </w:r>
            <w:r w:rsidR="004B3750">
              <w:rPr>
                <w:snapToGrid w:val="0"/>
                <w:sz w:val="20"/>
                <w:lang w:val="da-DK"/>
              </w:rPr>
              <w:noBreakHyphen/>
            </w:r>
            <w:r w:rsidRPr="001278B6">
              <w:rPr>
                <w:snapToGrid w:val="0"/>
                <w:sz w:val="20"/>
                <w:lang w:val="da-DK"/>
              </w:rPr>
              <w:t>fluoruracil i</w:t>
            </w:r>
            <w:r w:rsidR="00EC6AEB">
              <w:rPr>
                <w:snapToGrid w:val="0"/>
                <w:sz w:val="20"/>
                <w:lang w:val="da-DK"/>
              </w:rPr>
              <w:t>ntravenøst</w:t>
            </w:r>
            <w:r w:rsidRPr="001278B6">
              <w:rPr>
                <w:snapToGrid w:val="0"/>
                <w:sz w:val="20"/>
                <w:lang w:val="da-DK"/>
              </w:rPr>
              <w:t xml:space="preserve"> bolus/infusion på dag 1 og 2</w:t>
            </w:r>
          </w:p>
        </w:tc>
      </w:tr>
      <w:tr w:rsidR="003563EF" w:rsidRPr="00B16D03" w14:paraId="6505D815" w14:textId="77777777" w:rsidTr="00F466A3">
        <w:trPr>
          <w:cantSplit/>
        </w:trPr>
        <w:tc>
          <w:tcPr>
            <w:tcW w:w="1652" w:type="dxa"/>
            <w:vMerge/>
            <w:tcBorders>
              <w:top w:val="nil"/>
            </w:tcBorders>
          </w:tcPr>
          <w:p w14:paraId="600EF22A" w14:textId="77777777" w:rsidR="003563EF" w:rsidRPr="001278B6" w:rsidRDefault="003563EF" w:rsidP="001278B6">
            <w:pPr>
              <w:widowControl/>
              <w:adjustRightInd w:val="0"/>
              <w:snapToGrid w:val="0"/>
              <w:rPr>
                <w:snapToGrid w:val="0"/>
                <w:sz w:val="20"/>
                <w:szCs w:val="2"/>
                <w:lang w:val="da-DK"/>
              </w:rPr>
            </w:pPr>
          </w:p>
        </w:tc>
        <w:tc>
          <w:tcPr>
            <w:tcW w:w="1433" w:type="dxa"/>
            <w:tcBorders>
              <w:top w:val="nil"/>
              <w:bottom w:val="nil"/>
            </w:tcBorders>
          </w:tcPr>
          <w:p w14:paraId="7DACB8A3" w14:textId="77777777" w:rsidR="003563EF" w:rsidRDefault="00473235" w:rsidP="001278B6">
            <w:pPr>
              <w:pStyle w:val="TableParagraph"/>
              <w:widowControl/>
              <w:adjustRightInd w:val="0"/>
              <w:snapToGrid w:val="0"/>
              <w:rPr>
                <w:snapToGrid w:val="0"/>
                <w:sz w:val="20"/>
                <w:lang w:val="da-DK"/>
              </w:rPr>
            </w:pPr>
            <w:r w:rsidRPr="001278B6">
              <w:rPr>
                <w:snapToGrid w:val="0"/>
                <w:sz w:val="20"/>
                <w:lang w:val="da-DK"/>
              </w:rPr>
              <w:t>Leucovorin</w:t>
            </w:r>
          </w:p>
          <w:p w14:paraId="386D2A12" w14:textId="4A175F38" w:rsidR="00015B05" w:rsidRPr="001278B6" w:rsidRDefault="00015B05" w:rsidP="001278B6">
            <w:pPr>
              <w:pStyle w:val="TableParagraph"/>
              <w:widowControl/>
              <w:adjustRightInd w:val="0"/>
              <w:snapToGrid w:val="0"/>
              <w:rPr>
                <w:snapToGrid w:val="0"/>
                <w:sz w:val="20"/>
                <w:lang w:val="da-DK"/>
              </w:rPr>
            </w:pPr>
          </w:p>
        </w:tc>
        <w:tc>
          <w:tcPr>
            <w:tcW w:w="2693" w:type="dxa"/>
            <w:tcBorders>
              <w:top w:val="nil"/>
              <w:bottom w:val="nil"/>
            </w:tcBorders>
          </w:tcPr>
          <w:p w14:paraId="4EF3D532" w14:textId="77777777" w:rsidR="003563EF" w:rsidRPr="001278B6" w:rsidRDefault="00473235">
            <w:pPr>
              <w:pStyle w:val="TableParagraph"/>
              <w:widowControl/>
              <w:adjustRightInd w:val="0"/>
              <w:snapToGrid w:val="0"/>
              <w:rPr>
                <w:snapToGrid w:val="0"/>
                <w:sz w:val="20"/>
                <w:lang w:val="da-DK"/>
              </w:rPr>
            </w:pPr>
            <w:r w:rsidRPr="001278B6">
              <w:rPr>
                <w:snapToGrid w:val="0"/>
                <w:sz w:val="20"/>
                <w:lang w:val="da-DK"/>
              </w:rPr>
              <w:t>200</w:t>
            </w:r>
            <w:r w:rsidR="002F1213">
              <w:rPr>
                <w:snapToGrid w:val="0"/>
                <w:sz w:val="20"/>
                <w:lang w:val="da-DK"/>
              </w:rPr>
              <w:t> mg</w:t>
            </w:r>
            <w:r w:rsidRPr="001278B6">
              <w:rPr>
                <w:snapToGrid w:val="0"/>
                <w:sz w:val="20"/>
                <w:lang w:val="da-DK"/>
              </w:rPr>
              <w:t>/m</w:t>
            </w:r>
            <w:r w:rsidRPr="001278B6">
              <w:rPr>
                <w:snapToGrid w:val="0"/>
                <w:sz w:val="20"/>
                <w:vertAlign w:val="superscript"/>
                <w:lang w:val="da-DK"/>
              </w:rPr>
              <w:t>2</w:t>
            </w:r>
            <w:r w:rsidRPr="001278B6">
              <w:rPr>
                <w:snapToGrid w:val="0"/>
                <w:sz w:val="20"/>
                <w:lang w:val="da-DK"/>
              </w:rPr>
              <w:t xml:space="preserve"> i</w:t>
            </w:r>
            <w:r w:rsidR="002B7E7D">
              <w:rPr>
                <w:snapToGrid w:val="0"/>
                <w:sz w:val="20"/>
                <w:lang w:val="da-DK"/>
              </w:rPr>
              <w:t>ntravenøst</w:t>
            </w:r>
            <w:r w:rsidRPr="001278B6">
              <w:rPr>
                <w:snapToGrid w:val="0"/>
                <w:sz w:val="20"/>
                <w:lang w:val="da-DK"/>
              </w:rPr>
              <w:t xml:space="preserve"> 2 timer</w:t>
            </w:r>
          </w:p>
        </w:tc>
        <w:tc>
          <w:tcPr>
            <w:tcW w:w="3514" w:type="dxa"/>
            <w:vMerge/>
            <w:tcBorders>
              <w:top w:val="nil"/>
            </w:tcBorders>
          </w:tcPr>
          <w:p w14:paraId="7B46C523" w14:textId="77777777" w:rsidR="003563EF" w:rsidRPr="001278B6" w:rsidRDefault="003563EF" w:rsidP="001278B6">
            <w:pPr>
              <w:widowControl/>
              <w:adjustRightInd w:val="0"/>
              <w:snapToGrid w:val="0"/>
              <w:rPr>
                <w:snapToGrid w:val="0"/>
                <w:sz w:val="20"/>
                <w:szCs w:val="2"/>
                <w:lang w:val="da-DK"/>
              </w:rPr>
            </w:pPr>
          </w:p>
        </w:tc>
      </w:tr>
      <w:tr w:rsidR="003563EF" w:rsidRPr="007E69C7" w14:paraId="78B2825D" w14:textId="77777777" w:rsidTr="00F466A3">
        <w:trPr>
          <w:cantSplit/>
        </w:trPr>
        <w:tc>
          <w:tcPr>
            <w:tcW w:w="1652" w:type="dxa"/>
            <w:vMerge/>
            <w:tcBorders>
              <w:top w:val="nil"/>
            </w:tcBorders>
          </w:tcPr>
          <w:p w14:paraId="2C3F8DF3" w14:textId="77777777" w:rsidR="003563EF" w:rsidRPr="001278B6" w:rsidRDefault="003563EF" w:rsidP="001278B6">
            <w:pPr>
              <w:widowControl/>
              <w:adjustRightInd w:val="0"/>
              <w:snapToGrid w:val="0"/>
              <w:rPr>
                <w:snapToGrid w:val="0"/>
                <w:sz w:val="20"/>
                <w:szCs w:val="2"/>
                <w:lang w:val="da-DK"/>
              </w:rPr>
            </w:pPr>
          </w:p>
        </w:tc>
        <w:tc>
          <w:tcPr>
            <w:tcW w:w="1433" w:type="dxa"/>
            <w:tcBorders>
              <w:top w:val="nil"/>
            </w:tcBorders>
          </w:tcPr>
          <w:p w14:paraId="1D356178"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5</w:t>
            </w:r>
            <w:r w:rsidR="004B3750">
              <w:rPr>
                <w:snapToGrid w:val="0"/>
                <w:sz w:val="20"/>
                <w:lang w:val="da-DK"/>
              </w:rPr>
              <w:noBreakHyphen/>
            </w:r>
            <w:r w:rsidRPr="001278B6">
              <w:rPr>
                <w:snapToGrid w:val="0"/>
                <w:sz w:val="20"/>
                <w:lang w:val="da-DK"/>
              </w:rPr>
              <w:t>Fluoruracil</w:t>
            </w:r>
          </w:p>
        </w:tc>
        <w:tc>
          <w:tcPr>
            <w:tcW w:w="2693" w:type="dxa"/>
            <w:tcBorders>
              <w:top w:val="nil"/>
            </w:tcBorders>
          </w:tcPr>
          <w:p w14:paraId="23E9094B" w14:textId="77777777" w:rsidR="003563EF" w:rsidRPr="001278B6" w:rsidRDefault="00473235">
            <w:pPr>
              <w:pStyle w:val="TableParagraph"/>
              <w:widowControl/>
              <w:adjustRightInd w:val="0"/>
              <w:snapToGrid w:val="0"/>
              <w:rPr>
                <w:snapToGrid w:val="0"/>
                <w:sz w:val="20"/>
                <w:lang w:val="da-DK"/>
              </w:rPr>
            </w:pPr>
            <w:r w:rsidRPr="001278B6">
              <w:rPr>
                <w:snapToGrid w:val="0"/>
                <w:sz w:val="20"/>
                <w:lang w:val="da-DK"/>
              </w:rPr>
              <w:t>400</w:t>
            </w:r>
            <w:r w:rsidR="002F1213">
              <w:rPr>
                <w:snapToGrid w:val="0"/>
                <w:sz w:val="20"/>
                <w:lang w:val="da-DK"/>
              </w:rPr>
              <w:t> mg</w:t>
            </w:r>
            <w:r w:rsidRPr="001278B6">
              <w:rPr>
                <w:snapToGrid w:val="0"/>
                <w:sz w:val="20"/>
                <w:lang w:val="da-DK"/>
              </w:rPr>
              <w:t>/m</w:t>
            </w:r>
            <w:r w:rsidRPr="001278B6">
              <w:rPr>
                <w:snapToGrid w:val="0"/>
                <w:sz w:val="20"/>
                <w:vertAlign w:val="superscript"/>
                <w:lang w:val="da-DK"/>
              </w:rPr>
              <w:t>2</w:t>
            </w:r>
            <w:r w:rsidRPr="001278B6">
              <w:rPr>
                <w:snapToGrid w:val="0"/>
                <w:sz w:val="20"/>
                <w:lang w:val="da-DK"/>
              </w:rPr>
              <w:t xml:space="preserve"> </w:t>
            </w:r>
            <w:r w:rsidR="002B7E7D">
              <w:rPr>
                <w:snapToGrid w:val="0"/>
                <w:sz w:val="20"/>
                <w:lang w:val="da-DK"/>
              </w:rPr>
              <w:t>intravenøst</w:t>
            </w:r>
            <w:r w:rsidR="007544AC">
              <w:rPr>
                <w:snapToGrid w:val="0"/>
                <w:sz w:val="20"/>
                <w:lang w:val="da-DK"/>
              </w:rPr>
              <w:t xml:space="preserve"> </w:t>
            </w:r>
            <w:r w:rsidRPr="001278B6">
              <w:rPr>
                <w:snapToGrid w:val="0"/>
                <w:sz w:val="20"/>
                <w:lang w:val="da-DK"/>
              </w:rPr>
              <w:t>bolus, 600</w:t>
            </w:r>
            <w:r w:rsidR="007544AC">
              <w:rPr>
                <w:snapToGrid w:val="0"/>
                <w:sz w:val="20"/>
                <w:lang w:val="da-DK"/>
              </w:rPr>
              <w:t> </w:t>
            </w:r>
            <w:r w:rsidRPr="001278B6">
              <w:rPr>
                <w:snapToGrid w:val="0"/>
                <w:sz w:val="20"/>
                <w:lang w:val="da-DK"/>
              </w:rPr>
              <w:t>mg/m</w:t>
            </w:r>
            <w:r w:rsidRPr="001278B6">
              <w:rPr>
                <w:snapToGrid w:val="0"/>
                <w:sz w:val="20"/>
                <w:vertAlign w:val="superscript"/>
                <w:lang w:val="da-DK"/>
              </w:rPr>
              <w:t>2</w:t>
            </w:r>
            <w:r w:rsidR="007544AC" w:rsidRPr="001278B6">
              <w:rPr>
                <w:snapToGrid w:val="0"/>
                <w:sz w:val="20"/>
                <w:lang w:val="da-DK"/>
              </w:rPr>
              <w:t xml:space="preserve"> </w:t>
            </w:r>
            <w:r w:rsidRPr="001278B6">
              <w:rPr>
                <w:snapToGrid w:val="0"/>
                <w:sz w:val="20"/>
                <w:lang w:val="da-DK"/>
              </w:rPr>
              <w:t>i</w:t>
            </w:r>
            <w:r w:rsidR="00EC6AEB">
              <w:rPr>
                <w:snapToGrid w:val="0"/>
                <w:sz w:val="20"/>
                <w:lang w:val="da-DK"/>
              </w:rPr>
              <w:t>ntravenøst</w:t>
            </w:r>
            <w:r w:rsidRPr="001278B6">
              <w:rPr>
                <w:snapToGrid w:val="0"/>
                <w:sz w:val="20"/>
                <w:lang w:val="da-DK"/>
              </w:rPr>
              <w:t xml:space="preserve"> 22 timer</w:t>
            </w:r>
          </w:p>
        </w:tc>
        <w:tc>
          <w:tcPr>
            <w:tcW w:w="3514" w:type="dxa"/>
            <w:vMerge/>
            <w:tcBorders>
              <w:top w:val="nil"/>
            </w:tcBorders>
          </w:tcPr>
          <w:p w14:paraId="3E164DC6" w14:textId="77777777" w:rsidR="003563EF" w:rsidRPr="001278B6" w:rsidRDefault="003563EF" w:rsidP="001278B6">
            <w:pPr>
              <w:widowControl/>
              <w:adjustRightInd w:val="0"/>
              <w:snapToGrid w:val="0"/>
              <w:rPr>
                <w:snapToGrid w:val="0"/>
                <w:sz w:val="20"/>
                <w:szCs w:val="2"/>
                <w:lang w:val="da-DK"/>
              </w:rPr>
            </w:pPr>
          </w:p>
        </w:tc>
      </w:tr>
      <w:tr w:rsidR="003563EF" w:rsidRPr="007E69C7" w14:paraId="66A87322" w14:textId="77777777" w:rsidTr="00F466A3">
        <w:trPr>
          <w:cantSplit/>
        </w:trPr>
        <w:tc>
          <w:tcPr>
            <w:tcW w:w="1652" w:type="dxa"/>
            <w:vMerge/>
            <w:tcBorders>
              <w:top w:val="nil"/>
            </w:tcBorders>
          </w:tcPr>
          <w:p w14:paraId="73401707" w14:textId="77777777" w:rsidR="003563EF" w:rsidRPr="001278B6" w:rsidRDefault="003563EF" w:rsidP="001278B6">
            <w:pPr>
              <w:widowControl/>
              <w:adjustRightInd w:val="0"/>
              <w:snapToGrid w:val="0"/>
              <w:rPr>
                <w:snapToGrid w:val="0"/>
                <w:sz w:val="20"/>
                <w:szCs w:val="2"/>
                <w:lang w:val="da-DK"/>
              </w:rPr>
            </w:pPr>
          </w:p>
        </w:tc>
        <w:tc>
          <w:tcPr>
            <w:tcW w:w="1433" w:type="dxa"/>
          </w:tcPr>
          <w:p w14:paraId="7CC06173"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xml:space="preserve">Placebo eller </w:t>
            </w:r>
            <w:r w:rsidR="00EC6AEB">
              <w:rPr>
                <w:snapToGrid w:val="0"/>
                <w:sz w:val="20"/>
                <w:lang w:val="da-DK"/>
              </w:rPr>
              <w:t>Bevacizumab</w:t>
            </w:r>
          </w:p>
        </w:tc>
        <w:tc>
          <w:tcPr>
            <w:tcW w:w="2693" w:type="dxa"/>
          </w:tcPr>
          <w:p w14:paraId="7B6766FE" w14:textId="77777777" w:rsidR="003563EF" w:rsidRPr="001278B6" w:rsidRDefault="00473235">
            <w:pPr>
              <w:pStyle w:val="TableParagraph"/>
              <w:widowControl/>
              <w:adjustRightInd w:val="0"/>
              <w:snapToGrid w:val="0"/>
              <w:rPr>
                <w:snapToGrid w:val="0"/>
                <w:sz w:val="20"/>
                <w:lang w:val="da-DK"/>
              </w:rPr>
            </w:pPr>
            <w:r w:rsidRPr="001278B6">
              <w:rPr>
                <w:snapToGrid w:val="0"/>
                <w:sz w:val="20"/>
                <w:lang w:val="da-DK"/>
              </w:rPr>
              <w:t>5</w:t>
            </w:r>
            <w:r w:rsidR="002F1213">
              <w:rPr>
                <w:snapToGrid w:val="0"/>
                <w:sz w:val="20"/>
                <w:lang w:val="da-DK"/>
              </w:rPr>
              <w:t> mg</w:t>
            </w:r>
            <w:r w:rsidRPr="001278B6">
              <w:rPr>
                <w:snapToGrid w:val="0"/>
                <w:sz w:val="20"/>
                <w:lang w:val="da-DK"/>
              </w:rPr>
              <w:t>/kg i</w:t>
            </w:r>
            <w:r w:rsidR="00EC6AEB">
              <w:rPr>
                <w:snapToGrid w:val="0"/>
                <w:sz w:val="20"/>
                <w:lang w:val="da-DK"/>
              </w:rPr>
              <w:t>ntravenøst</w:t>
            </w:r>
            <w:r w:rsidRPr="001278B6">
              <w:rPr>
                <w:snapToGrid w:val="0"/>
                <w:sz w:val="20"/>
                <w:lang w:val="da-DK"/>
              </w:rPr>
              <w:t xml:space="preserve"> 30</w:t>
            </w:r>
            <w:r w:rsidR="004B3750">
              <w:rPr>
                <w:snapToGrid w:val="0"/>
                <w:sz w:val="20"/>
                <w:lang w:val="da-DK"/>
              </w:rPr>
              <w:noBreakHyphen/>
            </w:r>
            <w:r w:rsidRPr="001278B6">
              <w:rPr>
                <w:snapToGrid w:val="0"/>
                <w:sz w:val="20"/>
                <w:lang w:val="da-DK"/>
              </w:rPr>
              <w:t>90 min</w:t>
            </w:r>
          </w:p>
        </w:tc>
        <w:tc>
          <w:tcPr>
            <w:tcW w:w="3514" w:type="dxa"/>
          </w:tcPr>
          <w:p w14:paraId="48E725F8"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Dag 1 før FOLFOX</w:t>
            </w:r>
            <w:r w:rsidR="004B3750">
              <w:rPr>
                <w:snapToGrid w:val="0"/>
                <w:sz w:val="20"/>
                <w:lang w:val="da-DK"/>
              </w:rPr>
              <w:noBreakHyphen/>
            </w:r>
            <w:r w:rsidRPr="001278B6">
              <w:rPr>
                <w:snapToGrid w:val="0"/>
                <w:sz w:val="20"/>
                <w:lang w:val="da-DK"/>
              </w:rPr>
              <w:t>4, hver 2. uge</w:t>
            </w:r>
          </w:p>
        </w:tc>
      </w:tr>
      <w:tr w:rsidR="003563EF" w:rsidRPr="007E69C7" w14:paraId="700A4B74" w14:textId="77777777" w:rsidTr="00F466A3">
        <w:trPr>
          <w:cantSplit/>
        </w:trPr>
        <w:tc>
          <w:tcPr>
            <w:tcW w:w="1652" w:type="dxa"/>
            <w:vMerge w:val="restart"/>
          </w:tcPr>
          <w:p w14:paraId="6755C999" w14:textId="77777777" w:rsidR="003563EF" w:rsidRPr="001278B6" w:rsidRDefault="00473235" w:rsidP="00F466A3">
            <w:pPr>
              <w:pStyle w:val="TableParagraph"/>
              <w:keepLines/>
              <w:widowControl/>
              <w:adjustRightInd w:val="0"/>
              <w:snapToGrid w:val="0"/>
              <w:jc w:val="center"/>
              <w:rPr>
                <w:snapToGrid w:val="0"/>
                <w:sz w:val="20"/>
                <w:lang w:val="da-DK"/>
              </w:rPr>
            </w:pPr>
            <w:r w:rsidRPr="001278B6">
              <w:rPr>
                <w:snapToGrid w:val="0"/>
                <w:sz w:val="20"/>
                <w:lang w:val="da-DK"/>
              </w:rPr>
              <w:t>XELOX</w:t>
            </w:r>
            <w:r w:rsidR="00B70B6F">
              <w:rPr>
                <w:snapToGrid w:val="0"/>
                <w:sz w:val="20"/>
                <w:lang w:val="da-DK"/>
              </w:rPr>
              <w:t xml:space="preserve"> </w:t>
            </w:r>
          </w:p>
          <w:p w14:paraId="6123E226" w14:textId="77777777" w:rsidR="00A32F2C" w:rsidRDefault="00473235" w:rsidP="00F466A3">
            <w:pPr>
              <w:pStyle w:val="TableParagraph"/>
              <w:keepLines/>
              <w:widowControl/>
              <w:adjustRightInd w:val="0"/>
              <w:snapToGrid w:val="0"/>
              <w:jc w:val="center"/>
              <w:rPr>
                <w:snapToGrid w:val="0"/>
                <w:sz w:val="20"/>
                <w:lang w:val="da-DK"/>
              </w:rPr>
            </w:pPr>
            <w:r w:rsidRPr="001278B6">
              <w:rPr>
                <w:snapToGrid w:val="0"/>
                <w:sz w:val="20"/>
                <w:lang w:val="da-DK"/>
              </w:rPr>
              <w:t xml:space="preserve">eller </w:t>
            </w:r>
          </w:p>
          <w:p w14:paraId="38A7B767" w14:textId="77777777" w:rsidR="003563EF" w:rsidRPr="001278B6" w:rsidRDefault="00473235" w:rsidP="00F466A3">
            <w:pPr>
              <w:pStyle w:val="TableParagraph"/>
              <w:keepLines/>
              <w:widowControl/>
              <w:adjustRightInd w:val="0"/>
              <w:snapToGrid w:val="0"/>
              <w:jc w:val="center"/>
              <w:rPr>
                <w:snapToGrid w:val="0"/>
                <w:sz w:val="20"/>
                <w:lang w:val="da-DK"/>
              </w:rPr>
            </w:pPr>
            <w:r w:rsidRPr="001278B6">
              <w:rPr>
                <w:snapToGrid w:val="0"/>
                <w:sz w:val="20"/>
                <w:lang w:val="da-DK"/>
              </w:rPr>
              <w:t>XELOX +</w:t>
            </w:r>
            <w:r w:rsidR="00A32F2C">
              <w:rPr>
                <w:snapToGrid w:val="0"/>
                <w:sz w:val="20"/>
                <w:lang w:val="da-DK"/>
              </w:rPr>
              <w:t xml:space="preserve"> </w:t>
            </w:r>
            <w:r w:rsidR="00EC6AEB">
              <w:rPr>
                <w:snapToGrid w:val="0"/>
                <w:sz w:val="20"/>
                <w:lang w:val="da-DK"/>
              </w:rPr>
              <w:t>Bevacizumab</w:t>
            </w:r>
          </w:p>
        </w:tc>
        <w:tc>
          <w:tcPr>
            <w:tcW w:w="1433" w:type="dxa"/>
            <w:tcBorders>
              <w:bottom w:val="nil"/>
            </w:tcBorders>
          </w:tcPr>
          <w:p w14:paraId="2D625829" w14:textId="77777777" w:rsidR="003563EF" w:rsidRDefault="00473235">
            <w:pPr>
              <w:pStyle w:val="TableParagraph"/>
              <w:keepLines/>
              <w:widowControl/>
              <w:adjustRightInd w:val="0"/>
              <w:snapToGrid w:val="0"/>
              <w:rPr>
                <w:snapToGrid w:val="0"/>
                <w:sz w:val="20"/>
                <w:lang w:val="da-DK"/>
              </w:rPr>
            </w:pPr>
            <w:r w:rsidRPr="001278B6">
              <w:rPr>
                <w:snapToGrid w:val="0"/>
                <w:sz w:val="20"/>
                <w:lang w:val="da-DK"/>
              </w:rPr>
              <w:t>Oxaliplatin</w:t>
            </w:r>
          </w:p>
          <w:p w14:paraId="1533BDF7" w14:textId="139745ED" w:rsidR="00015B05" w:rsidRPr="001278B6" w:rsidRDefault="00015B05" w:rsidP="00F466A3">
            <w:pPr>
              <w:pStyle w:val="TableParagraph"/>
              <w:keepLines/>
              <w:widowControl/>
              <w:adjustRightInd w:val="0"/>
              <w:snapToGrid w:val="0"/>
              <w:rPr>
                <w:snapToGrid w:val="0"/>
                <w:sz w:val="20"/>
                <w:lang w:val="da-DK"/>
              </w:rPr>
            </w:pPr>
          </w:p>
        </w:tc>
        <w:tc>
          <w:tcPr>
            <w:tcW w:w="2693" w:type="dxa"/>
            <w:tcBorders>
              <w:bottom w:val="nil"/>
            </w:tcBorders>
          </w:tcPr>
          <w:p w14:paraId="7D0B7482"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130</w:t>
            </w:r>
            <w:r w:rsidR="002F1213">
              <w:rPr>
                <w:snapToGrid w:val="0"/>
                <w:sz w:val="20"/>
                <w:lang w:val="da-DK"/>
              </w:rPr>
              <w:t> mg</w:t>
            </w:r>
            <w:r w:rsidRPr="001278B6">
              <w:rPr>
                <w:snapToGrid w:val="0"/>
                <w:sz w:val="20"/>
                <w:lang w:val="da-DK"/>
              </w:rPr>
              <w:t>/m</w:t>
            </w:r>
            <w:r w:rsidRPr="001278B6">
              <w:rPr>
                <w:snapToGrid w:val="0"/>
                <w:sz w:val="20"/>
                <w:vertAlign w:val="superscript"/>
                <w:lang w:val="da-DK"/>
              </w:rPr>
              <w:t>2</w:t>
            </w:r>
            <w:r w:rsidRPr="001278B6">
              <w:rPr>
                <w:snapToGrid w:val="0"/>
                <w:sz w:val="20"/>
                <w:lang w:val="da-DK"/>
              </w:rPr>
              <w:t xml:space="preserve"> i</w:t>
            </w:r>
            <w:r w:rsidR="00EC6AEB">
              <w:rPr>
                <w:snapToGrid w:val="0"/>
                <w:sz w:val="20"/>
                <w:lang w:val="da-DK"/>
              </w:rPr>
              <w:t>ntravenøst</w:t>
            </w:r>
            <w:r w:rsidRPr="001278B6">
              <w:rPr>
                <w:snapToGrid w:val="0"/>
                <w:sz w:val="20"/>
                <w:lang w:val="da-DK"/>
              </w:rPr>
              <w:t xml:space="preserve"> 2 timer</w:t>
            </w:r>
          </w:p>
        </w:tc>
        <w:tc>
          <w:tcPr>
            <w:tcW w:w="3514" w:type="dxa"/>
            <w:vMerge w:val="restart"/>
          </w:tcPr>
          <w:p w14:paraId="3B819FE1" w14:textId="30DCE62D" w:rsidR="003563EF" w:rsidRDefault="00473235">
            <w:pPr>
              <w:pStyle w:val="TableParagraph"/>
              <w:keepLines/>
              <w:widowControl/>
              <w:adjustRightInd w:val="0"/>
              <w:snapToGrid w:val="0"/>
              <w:rPr>
                <w:snapToGrid w:val="0"/>
                <w:sz w:val="20"/>
                <w:lang w:val="da-DK"/>
              </w:rPr>
            </w:pPr>
            <w:r w:rsidRPr="001278B6">
              <w:rPr>
                <w:snapToGrid w:val="0"/>
                <w:sz w:val="20"/>
                <w:lang w:val="da-DK"/>
              </w:rPr>
              <w:t>Oxaliplatin på dag 1</w:t>
            </w:r>
          </w:p>
          <w:p w14:paraId="2577188D" w14:textId="77777777" w:rsidR="00015B05" w:rsidRPr="001278B6" w:rsidRDefault="00015B05" w:rsidP="00F466A3">
            <w:pPr>
              <w:pStyle w:val="TableParagraph"/>
              <w:keepLines/>
              <w:widowControl/>
              <w:adjustRightInd w:val="0"/>
              <w:snapToGrid w:val="0"/>
              <w:rPr>
                <w:snapToGrid w:val="0"/>
                <w:sz w:val="20"/>
                <w:lang w:val="da-DK"/>
              </w:rPr>
            </w:pPr>
          </w:p>
          <w:p w14:paraId="76DF4FEE"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Oral capecitabin to gange daglig i 2 uger (efterfulgt af 1 uge uden behandling)</w:t>
            </w:r>
          </w:p>
        </w:tc>
      </w:tr>
      <w:tr w:rsidR="003563EF" w:rsidRPr="007E69C7" w14:paraId="518A1111" w14:textId="77777777" w:rsidTr="00F466A3">
        <w:trPr>
          <w:cantSplit/>
        </w:trPr>
        <w:tc>
          <w:tcPr>
            <w:tcW w:w="1652" w:type="dxa"/>
            <w:vMerge/>
            <w:tcBorders>
              <w:top w:val="nil"/>
            </w:tcBorders>
          </w:tcPr>
          <w:p w14:paraId="55FD93DB" w14:textId="77777777" w:rsidR="003563EF" w:rsidRPr="001278B6" w:rsidRDefault="003563EF" w:rsidP="00F466A3">
            <w:pPr>
              <w:keepLines/>
              <w:widowControl/>
              <w:adjustRightInd w:val="0"/>
              <w:snapToGrid w:val="0"/>
              <w:rPr>
                <w:snapToGrid w:val="0"/>
                <w:sz w:val="20"/>
                <w:szCs w:val="2"/>
                <w:lang w:val="da-DK"/>
              </w:rPr>
            </w:pPr>
          </w:p>
        </w:tc>
        <w:tc>
          <w:tcPr>
            <w:tcW w:w="1433" w:type="dxa"/>
            <w:tcBorders>
              <w:top w:val="nil"/>
            </w:tcBorders>
          </w:tcPr>
          <w:p w14:paraId="7C1E15FE"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Capecitabin</w:t>
            </w:r>
          </w:p>
        </w:tc>
        <w:tc>
          <w:tcPr>
            <w:tcW w:w="2693" w:type="dxa"/>
            <w:tcBorders>
              <w:top w:val="nil"/>
            </w:tcBorders>
          </w:tcPr>
          <w:p w14:paraId="293E9E85"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1.000</w:t>
            </w:r>
            <w:r w:rsidR="002F1213">
              <w:rPr>
                <w:snapToGrid w:val="0"/>
                <w:sz w:val="20"/>
                <w:lang w:val="da-DK"/>
              </w:rPr>
              <w:t> mg</w:t>
            </w:r>
            <w:r w:rsidRPr="001278B6">
              <w:rPr>
                <w:snapToGrid w:val="0"/>
                <w:sz w:val="20"/>
                <w:lang w:val="da-DK"/>
              </w:rPr>
              <w:t>/m</w:t>
            </w:r>
            <w:r w:rsidRPr="001278B6">
              <w:rPr>
                <w:snapToGrid w:val="0"/>
                <w:sz w:val="20"/>
                <w:vertAlign w:val="superscript"/>
                <w:lang w:val="da-DK"/>
              </w:rPr>
              <w:t>2</w:t>
            </w:r>
            <w:r w:rsidRPr="001278B6">
              <w:rPr>
                <w:snapToGrid w:val="0"/>
                <w:sz w:val="20"/>
                <w:lang w:val="da-DK"/>
              </w:rPr>
              <w:t xml:space="preserve"> oral to gange daglig</w:t>
            </w:r>
          </w:p>
        </w:tc>
        <w:tc>
          <w:tcPr>
            <w:tcW w:w="3514" w:type="dxa"/>
            <w:vMerge/>
            <w:tcBorders>
              <w:top w:val="nil"/>
            </w:tcBorders>
          </w:tcPr>
          <w:p w14:paraId="625427DC" w14:textId="77777777" w:rsidR="003563EF" w:rsidRPr="001278B6" w:rsidRDefault="003563EF" w:rsidP="00F466A3">
            <w:pPr>
              <w:keepLines/>
              <w:widowControl/>
              <w:adjustRightInd w:val="0"/>
              <w:snapToGrid w:val="0"/>
              <w:rPr>
                <w:snapToGrid w:val="0"/>
                <w:sz w:val="20"/>
                <w:szCs w:val="2"/>
                <w:lang w:val="da-DK"/>
              </w:rPr>
            </w:pPr>
          </w:p>
        </w:tc>
      </w:tr>
      <w:tr w:rsidR="003563EF" w:rsidRPr="00747393" w14:paraId="2384FD2E" w14:textId="77777777" w:rsidTr="00F466A3">
        <w:trPr>
          <w:cantSplit/>
        </w:trPr>
        <w:tc>
          <w:tcPr>
            <w:tcW w:w="1652" w:type="dxa"/>
            <w:vMerge/>
            <w:tcBorders>
              <w:top w:val="nil"/>
            </w:tcBorders>
          </w:tcPr>
          <w:p w14:paraId="38BD9377" w14:textId="77777777" w:rsidR="003563EF" w:rsidRPr="001278B6" w:rsidRDefault="003563EF" w:rsidP="00F466A3">
            <w:pPr>
              <w:keepLines/>
              <w:widowControl/>
              <w:adjustRightInd w:val="0"/>
              <w:snapToGrid w:val="0"/>
              <w:rPr>
                <w:snapToGrid w:val="0"/>
                <w:sz w:val="20"/>
                <w:szCs w:val="2"/>
                <w:lang w:val="da-DK"/>
              </w:rPr>
            </w:pPr>
          </w:p>
        </w:tc>
        <w:tc>
          <w:tcPr>
            <w:tcW w:w="1433" w:type="dxa"/>
          </w:tcPr>
          <w:p w14:paraId="5BCF1159"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 xml:space="preserve">Placebo eller </w:t>
            </w:r>
            <w:r w:rsidR="00EC6AEB">
              <w:rPr>
                <w:snapToGrid w:val="0"/>
                <w:sz w:val="20"/>
                <w:lang w:val="da-DK"/>
              </w:rPr>
              <w:t>Bevacizumab</w:t>
            </w:r>
          </w:p>
        </w:tc>
        <w:tc>
          <w:tcPr>
            <w:tcW w:w="2693" w:type="dxa"/>
          </w:tcPr>
          <w:p w14:paraId="31D96A5C"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7,5</w:t>
            </w:r>
            <w:r w:rsidR="002F1213">
              <w:rPr>
                <w:snapToGrid w:val="0"/>
                <w:sz w:val="20"/>
                <w:lang w:val="da-DK"/>
              </w:rPr>
              <w:t> mg</w:t>
            </w:r>
            <w:r w:rsidRPr="001278B6">
              <w:rPr>
                <w:snapToGrid w:val="0"/>
                <w:sz w:val="20"/>
                <w:lang w:val="da-DK"/>
              </w:rPr>
              <w:t>/kg i</w:t>
            </w:r>
            <w:r w:rsidR="00EC6AEB">
              <w:rPr>
                <w:snapToGrid w:val="0"/>
                <w:sz w:val="20"/>
                <w:lang w:val="da-DK"/>
              </w:rPr>
              <w:t>ntravenøst</w:t>
            </w:r>
            <w:r w:rsidRPr="001278B6">
              <w:rPr>
                <w:snapToGrid w:val="0"/>
                <w:sz w:val="20"/>
                <w:lang w:val="da-DK"/>
              </w:rPr>
              <w:t xml:space="preserve"> 30</w:t>
            </w:r>
            <w:r w:rsidR="004B3750">
              <w:rPr>
                <w:snapToGrid w:val="0"/>
                <w:sz w:val="20"/>
                <w:lang w:val="da-DK"/>
              </w:rPr>
              <w:noBreakHyphen/>
            </w:r>
            <w:r w:rsidRPr="001278B6">
              <w:rPr>
                <w:snapToGrid w:val="0"/>
                <w:sz w:val="20"/>
                <w:lang w:val="da-DK"/>
              </w:rPr>
              <w:t>90 min</w:t>
            </w:r>
          </w:p>
        </w:tc>
        <w:tc>
          <w:tcPr>
            <w:tcW w:w="3514" w:type="dxa"/>
          </w:tcPr>
          <w:p w14:paraId="7CD21BE4" w14:textId="77777777" w:rsidR="003563EF" w:rsidRPr="001278B6" w:rsidRDefault="00473235" w:rsidP="00F466A3">
            <w:pPr>
              <w:pStyle w:val="TableParagraph"/>
              <w:keepLines/>
              <w:widowControl/>
              <w:adjustRightInd w:val="0"/>
              <w:snapToGrid w:val="0"/>
              <w:rPr>
                <w:snapToGrid w:val="0"/>
                <w:sz w:val="20"/>
                <w:lang w:val="da-DK"/>
              </w:rPr>
            </w:pPr>
            <w:r w:rsidRPr="001278B6">
              <w:rPr>
                <w:snapToGrid w:val="0"/>
                <w:sz w:val="20"/>
                <w:lang w:val="da-DK"/>
              </w:rPr>
              <w:t>Dag 1, før XELOX, hver 3. uge</w:t>
            </w:r>
          </w:p>
        </w:tc>
      </w:tr>
      <w:tr w:rsidR="003563EF" w:rsidRPr="007E69C7" w14:paraId="315D046F" w14:textId="77777777" w:rsidTr="00F466A3">
        <w:trPr>
          <w:cantSplit/>
        </w:trPr>
        <w:tc>
          <w:tcPr>
            <w:tcW w:w="9292" w:type="dxa"/>
            <w:gridSpan w:val="4"/>
          </w:tcPr>
          <w:p w14:paraId="3FF19139" w14:textId="77777777" w:rsidR="003563EF" w:rsidRPr="001278B6" w:rsidRDefault="00473235" w:rsidP="00F466A3">
            <w:pPr>
              <w:pStyle w:val="TableParagraph"/>
              <w:keepLines/>
              <w:widowControl/>
              <w:tabs>
                <w:tab w:val="left" w:pos="1260"/>
              </w:tabs>
              <w:adjustRightInd w:val="0"/>
              <w:snapToGrid w:val="0"/>
              <w:rPr>
                <w:snapToGrid w:val="0"/>
                <w:sz w:val="20"/>
                <w:lang w:val="da-DK"/>
              </w:rPr>
            </w:pPr>
            <w:r w:rsidRPr="001278B6">
              <w:rPr>
                <w:snapToGrid w:val="0"/>
                <w:sz w:val="20"/>
                <w:lang w:val="da-DK"/>
              </w:rPr>
              <w:t>5</w:t>
            </w:r>
            <w:r w:rsidR="004B3750">
              <w:rPr>
                <w:snapToGrid w:val="0"/>
                <w:sz w:val="20"/>
                <w:lang w:val="da-DK"/>
              </w:rPr>
              <w:noBreakHyphen/>
            </w:r>
            <w:r w:rsidRPr="001278B6">
              <w:rPr>
                <w:snapToGrid w:val="0"/>
                <w:sz w:val="20"/>
                <w:lang w:val="da-DK"/>
              </w:rPr>
              <w:t>Fluoruracil:</w:t>
            </w:r>
            <w:r w:rsidRPr="001278B6">
              <w:rPr>
                <w:snapToGrid w:val="0"/>
                <w:sz w:val="20"/>
                <w:lang w:val="da-DK"/>
              </w:rPr>
              <w:tab/>
              <w:t>i</w:t>
            </w:r>
            <w:r w:rsidR="00EC6AEB">
              <w:rPr>
                <w:snapToGrid w:val="0"/>
                <w:sz w:val="20"/>
                <w:lang w:val="da-DK"/>
              </w:rPr>
              <w:t>ntravenøs</w:t>
            </w:r>
            <w:r w:rsidRPr="001278B6">
              <w:rPr>
                <w:snapToGrid w:val="0"/>
                <w:sz w:val="20"/>
                <w:lang w:val="da-DK"/>
              </w:rPr>
              <w:t xml:space="preserve"> bolusinjektion umiddelbart efter leucovorin</w:t>
            </w:r>
          </w:p>
        </w:tc>
      </w:tr>
    </w:tbl>
    <w:p w14:paraId="587FF029" w14:textId="77777777" w:rsidR="003563EF" w:rsidRPr="001278B6" w:rsidRDefault="003563EF" w:rsidP="001278B6">
      <w:pPr>
        <w:pStyle w:val="a3"/>
        <w:widowControl/>
        <w:adjustRightInd w:val="0"/>
        <w:snapToGrid w:val="0"/>
        <w:rPr>
          <w:b/>
          <w:snapToGrid w:val="0"/>
          <w:lang w:val="da-DK"/>
        </w:rPr>
      </w:pPr>
    </w:p>
    <w:p w14:paraId="3F2D4CEE" w14:textId="03A765E3" w:rsidR="003563EF" w:rsidRPr="001278B6" w:rsidRDefault="00473235" w:rsidP="001278B6">
      <w:pPr>
        <w:pStyle w:val="a3"/>
        <w:widowControl/>
        <w:adjustRightInd w:val="0"/>
        <w:snapToGrid w:val="0"/>
        <w:rPr>
          <w:snapToGrid w:val="0"/>
          <w:lang w:val="da-DK"/>
        </w:rPr>
      </w:pPr>
      <w:r w:rsidRPr="001278B6">
        <w:rPr>
          <w:snapToGrid w:val="0"/>
          <w:lang w:val="da-DK"/>
        </w:rPr>
        <w:t xml:space="preserve">Den primære effektparameter for studiet var varigheden af </w:t>
      </w:r>
      <w:r w:rsidR="00E74A31">
        <w:rPr>
          <w:snapToGrid w:val="0"/>
          <w:lang w:val="da-DK"/>
        </w:rPr>
        <w:t>PFS</w:t>
      </w:r>
      <w:r w:rsidRPr="001278B6">
        <w:rPr>
          <w:snapToGrid w:val="0"/>
          <w:lang w:val="da-DK"/>
        </w:rPr>
        <w:t>. Der var to primære formål med studiet: At vise at XELOX var non</w:t>
      </w:r>
      <w:r w:rsidR="004B3750">
        <w:rPr>
          <w:snapToGrid w:val="0"/>
          <w:lang w:val="da-DK"/>
        </w:rPr>
        <w:noBreakHyphen/>
      </w:r>
      <w:r w:rsidRPr="001278B6">
        <w:rPr>
          <w:snapToGrid w:val="0"/>
          <w:lang w:val="da-DK"/>
        </w:rPr>
        <w:t>inferior i forhold til FOLFOX</w:t>
      </w:r>
      <w:r w:rsidR="004B3750">
        <w:rPr>
          <w:snapToGrid w:val="0"/>
          <w:lang w:val="da-DK"/>
        </w:rPr>
        <w:noBreakHyphen/>
      </w:r>
      <w:r w:rsidRPr="001278B6">
        <w:rPr>
          <w:snapToGrid w:val="0"/>
          <w:lang w:val="da-DK"/>
        </w:rPr>
        <w:t xml:space="preserve">4 og at vise at </w:t>
      </w:r>
      <w:r w:rsidR="00EC6AEB">
        <w:rPr>
          <w:snapToGrid w:val="0"/>
          <w:lang w:val="da-DK"/>
        </w:rPr>
        <w:t>bevacizumab</w:t>
      </w:r>
      <w:r w:rsidRPr="001278B6">
        <w:rPr>
          <w:snapToGrid w:val="0"/>
          <w:lang w:val="da-DK"/>
        </w:rPr>
        <w:t xml:space="preserve"> i kombination med FOLFOX</w:t>
      </w:r>
      <w:r w:rsidR="004B3750">
        <w:rPr>
          <w:snapToGrid w:val="0"/>
          <w:lang w:val="da-DK"/>
        </w:rPr>
        <w:noBreakHyphen/>
      </w:r>
      <w:r w:rsidRPr="001278B6">
        <w:rPr>
          <w:snapToGrid w:val="0"/>
          <w:lang w:val="da-DK"/>
        </w:rPr>
        <w:t>4 eller XELOX kemoterapi var bedre i forhold til kemoterapi alene. Begge primære formål blev opfyldt:</w:t>
      </w:r>
    </w:p>
    <w:p w14:paraId="47ED1FDA" w14:textId="77777777" w:rsidR="003563EF" w:rsidRPr="001278B6" w:rsidRDefault="003563EF" w:rsidP="001278B6">
      <w:pPr>
        <w:pStyle w:val="a3"/>
        <w:widowControl/>
        <w:adjustRightInd w:val="0"/>
        <w:snapToGrid w:val="0"/>
        <w:rPr>
          <w:snapToGrid w:val="0"/>
          <w:lang w:val="da-DK"/>
        </w:rPr>
      </w:pPr>
    </w:p>
    <w:p w14:paraId="6EEBBC6B" w14:textId="3A94A8BD" w:rsidR="003563EF" w:rsidRPr="001278B6" w:rsidRDefault="00473235" w:rsidP="001278B6">
      <w:pPr>
        <w:pStyle w:val="Bullet1"/>
        <w:widowControl/>
        <w:rPr>
          <w:lang w:val="da-DK"/>
        </w:rPr>
      </w:pPr>
      <w:r w:rsidRPr="001278B6">
        <w:rPr>
          <w:lang w:val="da-DK"/>
        </w:rPr>
        <w:t>XELOX</w:t>
      </w:r>
      <w:r w:rsidR="004B3750">
        <w:rPr>
          <w:lang w:val="da-DK"/>
        </w:rPr>
        <w:noBreakHyphen/>
      </w:r>
      <w:r w:rsidRPr="001278B6">
        <w:rPr>
          <w:lang w:val="da-DK"/>
        </w:rPr>
        <w:t>armene, var non</w:t>
      </w:r>
      <w:r w:rsidR="004B3750">
        <w:rPr>
          <w:lang w:val="da-DK"/>
        </w:rPr>
        <w:noBreakHyphen/>
      </w:r>
      <w:r w:rsidRPr="001278B6">
        <w:rPr>
          <w:lang w:val="da-DK"/>
        </w:rPr>
        <w:t xml:space="preserve">inferior med hensyn til </w:t>
      </w:r>
      <w:r w:rsidR="00E74A31">
        <w:rPr>
          <w:lang w:val="da-DK"/>
        </w:rPr>
        <w:t>PFS</w:t>
      </w:r>
      <w:r w:rsidRPr="001278B6">
        <w:rPr>
          <w:lang w:val="da-DK"/>
        </w:rPr>
        <w:t xml:space="preserve"> og </w:t>
      </w:r>
      <w:r w:rsidR="00E74A31">
        <w:rPr>
          <w:lang w:val="da-DK"/>
        </w:rPr>
        <w:t>OS</w:t>
      </w:r>
      <w:r w:rsidRPr="001278B6">
        <w:rPr>
          <w:lang w:val="da-DK"/>
        </w:rPr>
        <w:t xml:space="preserve"> i den egnede ”per protocol” patientpopulation i forhold til FOLFOX</w:t>
      </w:r>
      <w:r w:rsidR="004B3750">
        <w:rPr>
          <w:lang w:val="da-DK"/>
        </w:rPr>
        <w:noBreakHyphen/>
      </w:r>
      <w:r w:rsidRPr="001278B6">
        <w:rPr>
          <w:lang w:val="da-DK"/>
        </w:rPr>
        <w:t>4</w:t>
      </w:r>
      <w:r w:rsidR="004B3750">
        <w:rPr>
          <w:lang w:val="da-DK"/>
        </w:rPr>
        <w:noBreakHyphen/>
      </w:r>
      <w:r w:rsidRPr="001278B6">
        <w:rPr>
          <w:lang w:val="da-DK"/>
        </w:rPr>
        <w:t>armene.</w:t>
      </w:r>
    </w:p>
    <w:p w14:paraId="64A846FC" w14:textId="77777777" w:rsidR="003563EF" w:rsidRPr="001278B6" w:rsidRDefault="003563EF" w:rsidP="001278B6">
      <w:pPr>
        <w:pStyle w:val="a3"/>
        <w:widowControl/>
        <w:adjustRightInd w:val="0"/>
        <w:snapToGrid w:val="0"/>
        <w:rPr>
          <w:snapToGrid w:val="0"/>
          <w:lang w:val="da-DK"/>
        </w:rPr>
      </w:pPr>
    </w:p>
    <w:p w14:paraId="26B823F7" w14:textId="2C1DA705" w:rsidR="003563EF" w:rsidRPr="001278B6" w:rsidRDefault="00EC6AEB" w:rsidP="001278B6">
      <w:pPr>
        <w:pStyle w:val="Bullet1"/>
        <w:widowControl/>
        <w:rPr>
          <w:lang w:val="da-DK"/>
        </w:rPr>
      </w:pPr>
      <w:r>
        <w:rPr>
          <w:lang w:val="da-DK"/>
        </w:rPr>
        <w:t>Bevacizumab</w:t>
      </w:r>
      <w:r w:rsidR="004B3750">
        <w:rPr>
          <w:lang w:val="da-DK"/>
        </w:rPr>
        <w:noBreakHyphen/>
      </w:r>
      <w:r w:rsidR="00473235" w:rsidRPr="001278B6">
        <w:rPr>
          <w:lang w:val="da-DK"/>
        </w:rPr>
        <w:t xml:space="preserve">armene var bedre med hensyn til </w:t>
      </w:r>
      <w:r w:rsidR="00E74A31">
        <w:rPr>
          <w:lang w:val="da-DK"/>
        </w:rPr>
        <w:t xml:space="preserve">PFS </w:t>
      </w:r>
      <w:r w:rsidR="00473235" w:rsidRPr="001278B6">
        <w:rPr>
          <w:lang w:val="da-DK"/>
        </w:rPr>
        <w:t>i ITT (intent</w:t>
      </w:r>
      <w:r w:rsidR="004B3750">
        <w:rPr>
          <w:lang w:val="da-DK"/>
        </w:rPr>
        <w:noBreakHyphen/>
      </w:r>
      <w:r w:rsidR="00473235" w:rsidRPr="001278B6">
        <w:rPr>
          <w:lang w:val="da-DK"/>
        </w:rPr>
        <w:t>to</w:t>
      </w:r>
      <w:r w:rsidR="004B3750">
        <w:rPr>
          <w:lang w:val="da-DK"/>
        </w:rPr>
        <w:noBreakHyphen/>
      </w:r>
      <w:r w:rsidR="00473235" w:rsidRPr="001278B6">
        <w:rPr>
          <w:lang w:val="da-DK"/>
        </w:rPr>
        <w:t>treat) populationen (tabel 7) i forhold til behandlingsarmene, der kun indeholdt kemoterapi.</w:t>
      </w:r>
    </w:p>
    <w:p w14:paraId="01487C39" w14:textId="77777777" w:rsidR="003563EF" w:rsidRPr="001278B6" w:rsidRDefault="003563EF" w:rsidP="001278B6">
      <w:pPr>
        <w:pStyle w:val="a3"/>
        <w:widowControl/>
        <w:adjustRightInd w:val="0"/>
        <w:snapToGrid w:val="0"/>
        <w:rPr>
          <w:snapToGrid w:val="0"/>
          <w:lang w:val="da-DK"/>
        </w:rPr>
      </w:pPr>
    </w:p>
    <w:p w14:paraId="54D240BE" w14:textId="77777777" w:rsidR="003563EF" w:rsidRPr="001278B6" w:rsidRDefault="00473235" w:rsidP="001278B6">
      <w:pPr>
        <w:pStyle w:val="a3"/>
        <w:widowControl/>
        <w:adjustRightInd w:val="0"/>
        <w:snapToGrid w:val="0"/>
        <w:rPr>
          <w:snapToGrid w:val="0"/>
          <w:lang w:val="da-DK"/>
        </w:rPr>
      </w:pPr>
      <w:r w:rsidRPr="001278B6">
        <w:rPr>
          <w:snapToGrid w:val="0"/>
          <w:lang w:val="da-DK"/>
        </w:rPr>
        <w:t>Sekundære PFS analyser, baseret på responsvurderinger fra ”on</w:t>
      </w:r>
      <w:r w:rsidR="004B3750">
        <w:rPr>
          <w:snapToGrid w:val="0"/>
          <w:lang w:val="da-DK"/>
        </w:rPr>
        <w:noBreakHyphen/>
      </w:r>
      <w:r w:rsidRPr="001278B6">
        <w:rPr>
          <w:snapToGrid w:val="0"/>
          <w:lang w:val="da-DK"/>
        </w:rPr>
        <w:t xml:space="preserve">treatment”populationen, bekræftede den signifikante, superiore, kliniske effekt for patienter, behandlet med </w:t>
      </w:r>
      <w:r w:rsidR="00EC6AEB">
        <w:rPr>
          <w:snapToGrid w:val="0"/>
          <w:lang w:val="da-DK"/>
        </w:rPr>
        <w:t>bevacizumab</w:t>
      </w:r>
      <w:r w:rsidRPr="001278B6">
        <w:rPr>
          <w:snapToGrid w:val="0"/>
          <w:lang w:val="da-DK"/>
        </w:rPr>
        <w:t xml:space="preserve"> (analyser vist i</w:t>
      </w:r>
      <w:r w:rsidR="00B70B6F">
        <w:rPr>
          <w:snapToGrid w:val="0"/>
          <w:lang w:val="da-DK"/>
        </w:rPr>
        <w:t xml:space="preserve"> </w:t>
      </w:r>
      <w:r w:rsidRPr="001278B6">
        <w:rPr>
          <w:snapToGrid w:val="0"/>
          <w:lang w:val="da-DK"/>
        </w:rPr>
        <w:t>tabel</w:t>
      </w:r>
      <w:r w:rsidR="00B70B6F">
        <w:rPr>
          <w:snapToGrid w:val="0"/>
          <w:lang w:val="da-DK"/>
        </w:rPr>
        <w:t> </w:t>
      </w:r>
      <w:r w:rsidRPr="001278B6">
        <w:rPr>
          <w:snapToGrid w:val="0"/>
          <w:lang w:val="da-DK"/>
        </w:rPr>
        <w:t>7). Resultatet er konsistent med den statistisk signifikante fordel, som blev observeret i den samlede analyse.</w:t>
      </w:r>
    </w:p>
    <w:p w14:paraId="210A8F0B" w14:textId="77777777" w:rsidR="0079124A" w:rsidRPr="001278B6" w:rsidRDefault="0079124A" w:rsidP="001278B6">
      <w:pPr>
        <w:widowControl/>
        <w:adjustRightInd w:val="0"/>
        <w:snapToGrid w:val="0"/>
        <w:rPr>
          <w:snapToGrid w:val="0"/>
          <w:lang w:val="da-DK"/>
        </w:rPr>
      </w:pPr>
    </w:p>
    <w:p w14:paraId="2D1E6C05" w14:textId="77777777" w:rsidR="003563EF" w:rsidRPr="00765991" w:rsidRDefault="00473235" w:rsidP="00765991">
      <w:pPr>
        <w:ind w:left="1134" w:hanging="1134"/>
        <w:rPr>
          <w:b/>
          <w:bCs/>
          <w:snapToGrid w:val="0"/>
          <w:lang w:val="da-DK"/>
        </w:rPr>
      </w:pPr>
      <w:r w:rsidRPr="00765991">
        <w:rPr>
          <w:b/>
          <w:bCs/>
          <w:snapToGrid w:val="0"/>
          <w:lang w:val="da-DK"/>
        </w:rPr>
        <w:t>Tabel 7.</w:t>
      </w:r>
      <w:r w:rsidRPr="00765991">
        <w:rPr>
          <w:b/>
          <w:bCs/>
          <w:snapToGrid w:val="0"/>
          <w:lang w:val="da-DK"/>
        </w:rPr>
        <w:tab/>
        <w:t>Nøgletal for effektresultater af superioritets</w:t>
      </w:r>
      <w:r w:rsidR="004B3750" w:rsidRPr="00765991">
        <w:rPr>
          <w:b/>
          <w:bCs/>
          <w:snapToGrid w:val="0"/>
          <w:lang w:val="da-DK"/>
        </w:rPr>
        <w:noBreakHyphen/>
      </w:r>
      <w:r w:rsidRPr="00765991">
        <w:rPr>
          <w:b/>
          <w:bCs/>
          <w:snapToGrid w:val="0"/>
          <w:lang w:val="da-DK"/>
        </w:rPr>
        <w:t>analysen (ITT Population, studie NO16966)</w:t>
      </w:r>
    </w:p>
    <w:p w14:paraId="0322B930"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5"/>
        <w:gridCol w:w="1799"/>
        <w:gridCol w:w="1849"/>
        <w:gridCol w:w="1583"/>
      </w:tblGrid>
      <w:tr w:rsidR="003563EF" w:rsidRPr="005476B6" w14:paraId="1F5823B1" w14:textId="77777777" w:rsidTr="00F466A3">
        <w:tc>
          <w:tcPr>
            <w:tcW w:w="3936" w:type="dxa"/>
          </w:tcPr>
          <w:p w14:paraId="662710D8" w14:textId="77777777" w:rsidR="003563EF" w:rsidRPr="001278B6" w:rsidRDefault="00473235" w:rsidP="001278B6">
            <w:pPr>
              <w:pStyle w:val="TableParagraph"/>
              <w:keepNext/>
              <w:keepLines/>
              <w:widowControl/>
              <w:adjustRightInd w:val="0"/>
              <w:snapToGrid w:val="0"/>
              <w:rPr>
                <w:b/>
                <w:bCs/>
                <w:snapToGrid w:val="0"/>
                <w:sz w:val="20"/>
                <w:lang w:val="da-DK"/>
              </w:rPr>
            </w:pPr>
            <w:r w:rsidRPr="001278B6">
              <w:rPr>
                <w:b/>
                <w:bCs/>
                <w:snapToGrid w:val="0"/>
                <w:sz w:val="20"/>
                <w:lang w:val="da-DK"/>
              </w:rPr>
              <w:t>Endepunkt (måneder)</w:t>
            </w:r>
          </w:p>
        </w:tc>
        <w:tc>
          <w:tcPr>
            <w:tcW w:w="1842" w:type="dxa"/>
          </w:tcPr>
          <w:p w14:paraId="03BE2756" w14:textId="77777777" w:rsidR="007544AC" w:rsidRDefault="00473235">
            <w:pPr>
              <w:pStyle w:val="TableParagraph"/>
              <w:keepNext/>
              <w:keepLines/>
              <w:widowControl/>
              <w:adjustRightInd w:val="0"/>
              <w:snapToGrid w:val="0"/>
              <w:jc w:val="center"/>
              <w:rPr>
                <w:b/>
                <w:bCs/>
                <w:snapToGrid w:val="0"/>
                <w:sz w:val="20"/>
                <w:lang w:val="da-DK"/>
              </w:rPr>
            </w:pPr>
            <w:r w:rsidRPr="001278B6">
              <w:rPr>
                <w:b/>
                <w:bCs/>
                <w:snapToGrid w:val="0"/>
                <w:sz w:val="20"/>
                <w:lang w:val="da-DK"/>
              </w:rPr>
              <w:t>FOLFOX</w:t>
            </w:r>
            <w:r w:rsidR="004B3750">
              <w:rPr>
                <w:b/>
                <w:bCs/>
                <w:snapToGrid w:val="0"/>
                <w:sz w:val="20"/>
                <w:lang w:val="da-DK"/>
              </w:rPr>
              <w:noBreakHyphen/>
            </w:r>
            <w:r w:rsidRPr="001278B6">
              <w:rPr>
                <w:b/>
                <w:bCs/>
                <w:snapToGrid w:val="0"/>
                <w:sz w:val="20"/>
                <w:lang w:val="da-DK"/>
              </w:rPr>
              <w:t>4</w:t>
            </w:r>
            <w:r w:rsidR="007544AC">
              <w:rPr>
                <w:b/>
                <w:bCs/>
                <w:snapToGrid w:val="0"/>
                <w:sz w:val="20"/>
                <w:lang w:val="da-DK"/>
              </w:rPr>
              <w:t xml:space="preserve"> </w:t>
            </w:r>
            <w:r w:rsidR="00CB6BB7">
              <w:rPr>
                <w:b/>
                <w:bCs/>
                <w:snapToGrid w:val="0"/>
                <w:sz w:val="20"/>
                <w:lang w:val="da-DK"/>
              </w:rPr>
              <w:br/>
            </w:r>
            <w:r w:rsidRPr="001278B6">
              <w:rPr>
                <w:b/>
                <w:bCs/>
                <w:snapToGrid w:val="0"/>
                <w:sz w:val="20"/>
                <w:lang w:val="da-DK"/>
              </w:rPr>
              <w:t>eller XELOX</w:t>
            </w:r>
            <w:r w:rsidR="007544AC">
              <w:rPr>
                <w:b/>
                <w:bCs/>
                <w:snapToGrid w:val="0"/>
                <w:sz w:val="20"/>
                <w:lang w:val="da-DK"/>
              </w:rPr>
              <w:t xml:space="preserve"> </w:t>
            </w:r>
            <w:r w:rsidRPr="001278B6">
              <w:rPr>
                <w:b/>
                <w:bCs/>
                <w:snapToGrid w:val="0"/>
                <w:sz w:val="20"/>
                <w:lang w:val="da-DK"/>
              </w:rPr>
              <w:t>+</w:t>
            </w:r>
            <w:r w:rsidR="00CB6BB7">
              <w:rPr>
                <w:b/>
                <w:bCs/>
                <w:snapToGrid w:val="0"/>
                <w:sz w:val="20"/>
                <w:lang w:val="da-DK"/>
              </w:rPr>
              <w:br/>
            </w:r>
            <w:r w:rsidRPr="001278B6">
              <w:rPr>
                <w:b/>
                <w:bCs/>
                <w:snapToGrid w:val="0"/>
                <w:sz w:val="20"/>
                <w:lang w:val="da-DK"/>
              </w:rPr>
              <w:t xml:space="preserve"> placebo </w:t>
            </w:r>
          </w:p>
          <w:p w14:paraId="30F7B1D6"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(n=701)</w:t>
            </w:r>
          </w:p>
        </w:tc>
        <w:tc>
          <w:tcPr>
            <w:tcW w:w="1894" w:type="dxa"/>
          </w:tcPr>
          <w:p w14:paraId="296E1CEF" w14:textId="77777777" w:rsidR="007544AC" w:rsidRDefault="00473235" w:rsidP="007544AC">
            <w:pPr>
              <w:pStyle w:val="TableParagraph"/>
              <w:keepNext/>
              <w:keepLines/>
              <w:widowControl/>
              <w:adjustRightInd w:val="0"/>
              <w:snapToGrid w:val="0"/>
              <w:jc w:val="center"/>
              <w:rPr>
                <w:b/>
                <w:bCs/>
                <w:snapToGrid w:val="0"/>
                <w:sz w:val="20"/>
                <w:lang w:val="da-DK"/>
              </w:rPr>
            </w:pPr>
            <w:r w:rsidRPr="001278B6">
              <w:rPr>
                <w:b/>
                <w:bCs/>
                <w:snapToGrid w:val="0"/>
                <w:sz w:val="20"/>
                <w:lang w:val="da-DK"/>
              </w:rPr>
              <w:t>FOLFOX</w:t>
            </w:r>
            <w:r w:rsidR="004B3750">
              <w:rPr>
                <w:b/>
                <w:bCs/>
                <w:snapToGrid w:val="0"/>
                <w:sz w:val="20"/>
                <w:lang w:val="da-DK"/>
              </w:rPr>
              <w:noBreakHyphen/>
            </w:r>
            <w:r w:rsidRPr="001278B6">
              <w:rPr>
                <w:b/>
                <w:bCs/>
                <w:snapToGrid w:val="0"/>
                <w:sz w:val="20"/>
                <w:lang w:val="da-DK"/>
              </w:rPr>
              <w:t>4</w:t>
            </w:r>
            <w:r w:rsidR="007544AC">
              <w:rPr>
                <w:b/>
                <w:bCs/>
                <w:snapToGrid w:val="0"/>
                <w:sz w:val="20"/>
                <w:lang w:val="da-DK"/>
              </w:rPr>
              <w:t xml:space="preserve"> </w:t>
            </w:r>
            <w:r w:rsidR="00CB6BB7">
              <w:rPr>
                <w:b/>
                <w:bCs/>
                <w:snapToGrid w:val="0"/>
                <w:sz w:val="20"/>
                <w:lang w:val="da-DK"/>
              </w:rPr>
              <w:br/>
            </w:r>
            <w:r w:rsidRPr="001278B6">
              <w:rPr>
                <w:b/>
                <w:bCs/>
                <w:snapToGrid w:val="0"/>
                <w:sz w:val="20"/>
                <w:lang w:val="da-DK"/>
              </w:rPr>
              <w:t>eller XELOX</w:t>
            </w:r>
            <w:r w:rsidR="007544AC">
              <w:rPr>
                <w:b/>
                <w:bCs/>
                <w:snapToGrid w:val="0"/>
                <w:sz w:val="20"/>
                <w:lang w:val="da-DK"/>
              </w:rPr>
              <w:t xml:space="preserve"> </w:t>
            </w:r>
            <w:r w:rsidRPr="001278B6">
              <w:rPr>
                <w:b/>
                <w:bCs/>
                <w:snapToGrid w:val="0"/>
                <w:sz w:val="20"/>
                <w:lang w:val="da-DK"/>
              </w:rPr>
              <w:t xml:space="preserve">+ bevacizumab </w:t>
            </w:r>
          </w:p>
          <w:p w14:paraId="0058CD87"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(n=699)</w:t>
            </w:r>
          </w:p>
        </w:tc>
        <w:tc>
          <w:tcPr>
            <w:tcW w:w="1620" w:type="dxa"/>
          </w:tcPr>
          <w:p w14:paraId="69D15935"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p</w:t>
            </w:r>
            <w:r w:rsidR="004B3750">
              <w:rPr>
                <w:b/>
                <w:bCs/>
                <w:snapToGrid w:val="0"/>
                <w:sz w:val="20"/>
                <w:lang w:val="da-DK"/>
              </w:rPr>
              <w:noBreakHyphen/>
            </w:r>
            <w:r w:rsidRPr="001278B6">
              <w:rPr>
                <w:b/>
                <w:bCs/>
                <w:snapToGrid w:val="0"/>
                <w:sz w:val="20"/>
                <w:lang w:val="da-DK"/>
              </w:rPr>
              <w:t>værdi</w:t>
            </w:r>
          </w:p>
        </w:tc>
      </w:tr>
      <w:tr w:rsidR="003563EF" w:rsidRPr="005476B6" w14:paraId="1AFB39A4" w14:textId="77777777" w:rsidTr="00F466A3">
        <w:tc>
          <w:tcPr>
            <w:tcW w:w="9292" w:type="dxa"/>
            <w:gridSpan w:val="4"/>
          </w:tcPr>
          <w:p w14:paraId="135E1292"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Primær endepunkt</w:t>
            </w:r>
          </w:p>
        </w:tc>
      </w:tr>
      <w:tr w:rsidR="003563EF" w:rsidRPr="005476B6" w14:paraId="6492C156" w14:textId="77777777" w:rsidTr="00F466A3">
        <w:tc>
          <w:tcPr>
            <w:tcW w:w="3936" w:type="dxa"/>
          </w:tcPr>
          <w:p w14:paraId="32DF10CF" w14:textId="77777777" w:rsidR="003563EF" w:rsidRPr="001278B6" w:rsidRDefault="00473235" w:rsidP="001278B6">
            <w:pPr>
              <w:pStyle w:val="TableParagraph"/>
              <w:widowControl/>
              <w:adjustRightInd w:val="0"/>
              <w:snapToGrid w:val="0"/>
              <w:ind w:left="187"/>
              <w:rPr>
                <w:snapToGrid w:val="0"/>
                <w:sz w:val="20"/>
                <w:lang w:val="da-DK"/>
              </w:rPr>
            </w:pPr>
            <w:r w:rsidRPr="001278B6">
              <w:rPr>
                <w:snapToGrid w:val="0"/>
                <w:sz w:val="20"/>
                <w:lang w:val="da-DK"/>
              </w:rPr>
              <w:t>Median PFS**</w:t>
            </w:r>
          </w:p>
        </w:tc>
        <w:tc>
          <w:tcPr>
            <w:tcW w:w="1842" w:type="dxa"/>
          </w:tcPr>
          <w:p w14:paraId="3294B2F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8,0</w:t>
            </w:r>
          </w:p>
        </w:tc>
        <w:tc>
          <w:tcPr>
            <w:tcW w:w="1894" w:type="dxa"/>
          </w:tcPr>
          <w:p w14:paraId="0DA15D9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9,4</w:t>
            </w:r>
          </w:p>
        </w:tc>
        <w:tc>
          <w:tcPr>
            <w:tcW w:w="1620" w:type="dxa"/>
          </w:tcPr>
          <w:p w14:paraId="028FE00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0,0023</w:t>
            </w:r>
          </w:p>
        </w:tc>
      </w:tr>
      <w:tr w:rsidR="003563EF" w:rsidRPr="005476B6" w14:paraId="7EC99B87" w14:textId="77777777" w:rsidTr="00F466A3">
        <w:tc>
          <w:tcPr>
            <w:tcW w:w="3936" w:type="dxa"/>
          </w:tcPr>
          <w:p w14:paraId="6D0FFB0D" w14:textId="77777777" w:rsidR="003563EF" w:rsidRPr="001278B6" w:rsidRDefault="00473235" w:rsidP="001278B6">
            <w:pPr>
              <w:pStyle w:val="TableParagraph"/>
              <w:widowControl/>
              <w:adjustRightInd w:val="0"/>
              <w:snapToGrid w:val="0"/>
              <w:ind w:left="360"/>
              <w:rPr>
                <w:snapToGrid w:val="0"/>
                <w:sz w:val="20"/>
                <w:lang w:val="da-DK"/>
              </w:rPr>
            </w:pPr>
            <w:r w:rsidRPr="00F466A3">
              <w:rPr>
                <w:iCs/>
                <w:snapToGrid w:val="0"/>
                <w:sz w:val="20"/>
                <w:lang w:val="da-DK"/>
              </w:rPr>
              <w:t xml:space="preserve">Hazard </w:t>
            </w:r>
            <w:r w:rsidRPr="001278B6">
              <w:rPr>
                <w:snapToGrid w:val="0"/>
                <w:sz w:val="20"/>
                <w:lang w:val="da-DK"/>
              </w:rPr>
              <w:t>ratio (97,5 % konfidensinterval)</w:t>
            </w:r>
            <w:r w:rsidRPr="001278B6">
              <w:rPr>
                <w:snapToGrid w:val="0"/>
                <w:sz w:val="20"/>
                <w:vertAlign w:val="superscript"/>
                <w:lang w:val="da-DK"/>
              </w:rPr>
              <w:t>a</w:t>
            </w:r>
          </w:p>
        </w:tc>
        <w:tc>
          <w:tcPr>
            <w:tcW w:w="3736" w:type="dxa"/>
            <w:gridSpan w:val="2"/>
          </w:tcPr>
          <w:p w14:paraId="191F076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0,83 (0,72</w:t>
            </w:r>
            <w:r w:rsidR="004B3750">
              <w:rPr>
                <w:snapToGrid w:val="0"/>
                <w:sz w:val="20"/>
                <w:lang w:val="da-DK"/>
              </w:rPr>
              <w:noBreakHyphen/>
            </w:r>
            <w:r w:rsidRPr="001278B6">
              <w:rPr>
                <w:snapToGrid w:val="0"/>
                <w:sz w:val="20"/>
                <w:lang w:val="da-DK"/>
              </w:rPr>
              <w:t>0,95)</w:t>
            </w:r>
          </w:p>
        </w:tc>
        <w:tc>
          <w:tcPr>
            <w:tcW w:w="1620" w:type="dxa"/>
          </w:tcPr>
          <w:p w14:paraId="566BC0A0"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6E67DBD6" w14:textId="77777777" w:rsidTr="00F466A3">
        <w:tc>
          <w:tcPr>
            <w:tcW w:w="9292" w:type="dxa"/>
            <w:gridSpan w:val="4"/>
          </w:tcPr>
          <w:p w14:paraId="17608F58"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Sekundære endepunkter</w:t>
            </w:r>
          </w:p>
        </w:tc>
      </w:tr>
      <w:tr w:rsidR="003563EF" w:rsidRPr="005476B6" w14:paraId="6BD665F4" w14:textId="77777777" w:rsidTr="00F466A3">
        <w:tc>
          <w:tcPr>
            <w:tcW w:w="3936" w:type="dxa"/>
          </w:tcPr>
          <w:p w14:paraId="21699BC7"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Median PFS (i behandling)**</w:t>
            </w:r>
          </w:p>
        </w:tc>
        <w:tc>
          <w:tcPr>
            <w:tcW w:w="1842" w:type="dxa"/>
          </w:tcPr>
          <w:p w14:paraId="6B89DEA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7,9</w:t>
            </w:r>
          </w:p>
        </w:tc>
        <w:tc>
          <w:tcPr>
            <w:tcW w:w="1894" w:type="dxa"/>
          </w:tcPr>
          <w:p w14:paraId="232FCA2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10,4</w:t>
            </w:r>
          </w:p>
        </w:tc>
        <w:tc>
          <w:tcPr>
            <w:tcW w:w="1620" w:type="dxa"/>
          </w:tcPr>
          <w:p w14:paraId="7B6BA64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 0,0001</w:t>
            </w:r>
          </w:p>
        </w:tc>
      </w:tr>
      <w:tr w:rsidR="003563EF" w:rsidRPr="005476B6" w14:paraId="5E282686" w14:textId="77777777" w:rsidTr="00F466A3">
        <w:tc>
          <w:tcPr>
            <w:tcW w:w="3936" w:type="dxa"/>
          </w:tcPr>
          <w:p w14:paraId="1B12272C" w14:textId="77777777" w:rsidR="003563EF" w:rsidRPr="001278B6" w:rsidRDefault="00473235" w:rsidP="001278B6">
            <w:pPr>
              <w:pStyle w:val="TableParagraph"/>
              <w:widowControl/>
              <w:adjustRightInd w:val="0"/>
              <w:snapToGrid w:val="0"/>
              <w:ind w:left="360"/>
              <w:rPr>
                <w:snapToGrid w:val="0"/>
                <w:sz w:val="20"/>
                <w:lang w:val="da-DK"/>
              </w:rPr>
            </w:pPr>
            <w:r w:rsidRPr="001278B6">
              <w:rPr>
                <w:i/>
                <w:snapToGrid w:val="0"/>
                <w:sz w:val="20"/>
                <w:lang w:val="da-DK"/>
              </w:rPr>
              <w:t xml:space="preserve">Hazard </w:t>
            </w:r>
            <w:r w:rsidRPr="001278B6">
              <w:rPr>
                <w:snapToGrid w:val="0"/>
                <w:sz w:val="20"/>
                <w:lang w:val="da-DK"/>
              </w:rPr>
              <w:t>ratio (97,5 % konfidensinterval)</w:t>
            </w:r>
          </w:p>
        </w:tc>
        <w:tc>
          <w:tcPr>
            <w:tcW w:w="3736" w:type="dxa"/>
            <w:gridSpan w:val="2"/>
          </w:tcPr>
          <w:p w14:paraId="22757B4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0,63 (0,52</w:t>
            </w:r>
            <w:r w:rsidR="004B3750">
              <w:rPr>
                <w:snapToGrid w:val="0"/>
                <w:sz w:val="20"/>
                <w:lang w:val="da-DK"/>
              </w:rPr>
              <w:noBreakHyphen/>
            </w:r>
            <w:r w:rsidRPr="001278B6">
              <w:rPr>
                <w:snapToGrid w:val="0"/>
                <w:sz w:val="20"/>
                <w:lang w:val="da-DK"/>
              </w:rPr>
              <w:t>0,75)</w:t>
            </w:r>
          </w:p>
        </w:tc>
        <w:tc>
          <w:tcPr>
            <w:tcW w:w="1620" w:type="dxa"/>
          </w:tcPr>
          <w:p w14:paraId="10065644"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520C8A2A" w14:textId="77777777" w:rsidTr="00F466A3">
        <w:tc>
          <w:tcPr>
            <w:tcW w:w="3936" w:type="dxa"/>
          </w:tcPr>
          <w:p w14:paraId="455AC8E2"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 xml:space="preserve">Samlet responsrate </w:t>
            </w:r>
            <w:r w:rsidR="00147182">
              <w:rPr>
                <w:snapToGrid w:val="0"/>
                <w:sz w:val="20"/>
                <w:lang w:val="da-DK"/>
              </w:rPr>
              <w:br/>
            </w:r>
            <w:r w:rsidRPr="001278B6">
              <w:rPr>
                <w:snapToGrid w:val="0"/>
                <w:sz w:val="20"/>
                <w:lang w:val="da-DK"/>
              </w:rPr>
              <w:t>(Investigators vurdering)**</w:t>
            </w:r>
          </w:p>
        </w:tc>
        <w:tc>
          <w:tcPr>
            <w:tcW w:w="1842" w:type="dxa"/>
          </w:tcPr>
          <w:p w14:paraId="46D956A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49,2 %</w:t>
            </w:r>
          </w:p>
        </w:tc>
        <w:tc>
          <w:tcPr>
            <w:tcW w:w="1894" w:type="dxa"/>
          </w:tcPr>
          <w:p w14:paraId="1ADE024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46,5 %</w:t>
            </w:r>
          </w:p>
        </w:tc>
        <w:tc>
          <w:tcPr>
            <w:tcW w:w="1620" w:type="dxa"/>
          </w:tcPr>
          <w:p w14:paraId="520983A7"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22800402" w14:textId="77777777" w:rsidTr="00F466A3">
        <w:tc>
          <w:tcPr>
            <w:tcW w:w="3936" w:type="dxa"/>
          </w:tcPr>
          <w:p w14:paraId="461D47B2"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Median samlet overlevelse*</w:t>
            </w:r>
          </w:p>
        </w:tc>
        <w:tc>
          <w:tcPr>
            <w:tcW w:w="1842" w:type="dxa"/>
          </w:tcPr>
          <w:p w14:paraId="6C545AB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19,9</w:t>
            </w:r>
          </w:p>
        </w:tc>
        <w:tc>
          <w:tcPr>
            <w:tcW w:w="1894" w:type="dxa"/>
          </w:tcPr>
          <w:p w14:paraId="7B2923A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21,2</w:t>
            </w:r>
          </w:p>
        </w:tc>
        <w:tc>
          <w:tcPr>
            <w:tcW w:w="1620" w:type="dxa"/>
          </w:tcPr>
          <w:p w14:paraId="7448A8C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0,0769</w:t>
            </w:r>
          </w:p>
        </w:tc>
      </w:tr>
      <w:tr w:rsidR="003563EF" w:rsidRPr="005476B6" w14:paraId="0E5D2C16" w14:textId="77777777" w:rsidTr="00F466A3">
        <w:tc>
          <w:tcPr>
            <w:tcW w:w="3936" w:type="dxa"/>
          </w:tcPr>
          <w:p w14:paraId="2426843D" w14:textId="77777777" w:rsidR="003563EF" w:rsidRPr="001278B6" w:rsidRDefault="00473235" w:rsidP="001278B6">
            <w:pPr>
              <w:pStyle w:val="TableParagraph"/>
              <w:widowControl/>
              <w:adjustRightInd w:val="0"/>
              <w:snapToGrid w:val="0"/>
              <w:ind w:left="360"/>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(97,5 % konfidensinterval)</w:t>
            </w:r>
          </w:p>
        </w:tc>
        <w:tc>
          <w:tcPr>
            <w:tcW w:w="3736" w:type="dxa"/>
            <w:gridSpan w:val="2"/>
          </w:tcPr>
          <w:p w14:paraId="74ABE4E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0,89 (0,76</w:t>
            </w:r>
            <w:r w:rsidR="004B3750">
              <w:rPr>
                <w:snapToGrid w:val="0"/>
                <w:sz w:val="20"/>
                <w:lang w:val="da-DK"/>
              </w:rPr>
              <w:noBreakHyphen/>
            </w:r>
            <w:r w:rsidRPr="001278B6">
              <w:rPr>
                <w:snapToGrid w:val="0"/>
                <w:sz w:val="20"/>
                <w:lang w:val="da-DK"/>
              </w:rPr>
              <w:t>1,03)</w:t>
            </w:r>
          </w:p>
        </w:tc>
        <w:tc>
          <w:tcPr>
            <w:tcW w:w="1620" w:type="dxa"/>
          </w:tcPr>
          <w:p w14:paraId="0178B24F" w14:textId="77777777" w:rsidR="003563EF" w:rsidRPr="001278B6" w:rsidRDefault="003563EF" w:rsidP="001278B6">
            <w:pPr>
              <w:pStyle w:val="TableParagraph"/>
              <w:widowControl/>
              <w:adjustRightInd w:val="0"/>
              <w:snapToGrid w:val="0"/>
              <w:rPr>
                <w:snapToGrid w:val="0"/>
                <w:sz w:val="20"/>
                <w:lang w:val="da-DK"/>
              </w:rPr>
            </w:pPr>
          </w:p>
        </w:tc>
      </w:tr>
    </w:tbl>
    <w:p w14:paraId="277101FD" w14:textId="089D2BC8"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 xml:space="preserve">* </w:t>
      </w:r>
      <w:r w:rsidR="00E74A31">
        <w:rPr>
          <w:snapToGrid w:val="0"/>
          <w:sz w:val="18"/>
          <w:szCs w:val="18"/>
          <w:lang w:val="da-DK"/>
        </w:rPr>
        <w:t>OS-</w:t>
      </w:r>
      <w:r w:rsidRPr="001278B6">
        <w:rPr>
          <w:snapToGrid w:val="0"/>
          <w:sz w:val="18"/>
          <w:szCs w:val="18"/>
          <w:lang w:val="da-DK"/>
        </w:rPr>
        <w:t>analyse ved klinisk cut</w:t>
      </w:r>
      <w:r w:rsidR="004B3750">
        <w:rPr>
          <w:snapToGrid w:val="0"/>
          <w:sz w:val="18"/>
          <w:szCs w:val="18"/>
          <w:lang w:val="da-DK"/>
        </w:rPr>
        <w:noBreakHyphen/>
      </w:r>
      <w:r w:rsidRPr="001278B6">
        <w:rPr>
          <w:snapToGrid w:val="0"/>
          <w:sz w:val="18"/>
          <w:szCs w:val="18"/>
          <w:lang w:val="da-DK"/>
        </w:rPr>
        <w:t>off 31. januar 2007</w:t>
      </w:r>
    </w:p>
    <w:p w14:paraId="35661C84" w14:textId="77777777" w:rsidR="003563EF" w:rsidRPr="003C63FB" w:rsidRDefault="00473235" w:rsidP="001278B6">
      <w:pPr>
        <w:widowControl/>
        <w:adjustRightInd w:val="0"/>
        <w:snapToGrid w:val="0"/>
        <w:rPr>
          <w:snapToGrid w:val="0"/>
          <w:sz w:val="18"/>
          <w:szCs w:val="18"/>
          <w:lang w:val="nb-NO"/>
        </w:rPr>
      </w:pPr>
      <w:r w:rsidRPr="003C63FB">
        <w:rPr>
          <w:snapToGrid w:val="0"/>
          <w:sz w:val="18"/>
          <w:szCs w:val="18"/>
          <w:lang w:val="nb-NO"/>
        </w:rPr>
        <w:t>** Primær analyse ved klinisk cut</w:t>
      </w:r>
      <w:r w:rsidR="004B3750" w:rsidRPr="003C63FB">
        <w:rPr>
          <w:snapToGrid w:val="0"/>
          <w:sz w:val="18"/>
          <w:szCs w:val="18"/>
          <w:lang w:val="nb-NO"/>
        </w:rPr>
        <w:noBreakHyphen/>
      </w:r>
      <w:r w:rsidRPr="003C63FB">
        <w:rPr>
          <w:snapToGrid w:val="0"/>
          <w:sz w:val="18"/>
          <w:szCs w:val="18"/>
          <w:lang w:val="nb-NO"/>
        </w:rPr>
        <w:t>off 31. januar 2006</w:t>
      </w:r>
    </w:p>
    <w:p w14:paraId="2960CEBB" w14:textId="77777777" w:rsidR="003563EF" w:rsidRPr="003C63FB" w:rsidRDefault="00473235" w:rsidP="001278B6">
      <w:pPr>
        <w:widowControl/>
        <w:adjustRightInd w:val="0"/>
        <w:snapToGrid w:val="0"/>
        <w:rPr>
          <w:snapToGrid w:val="0"/>
          <w:sz w:val="18"/>
          <w:szCs w:val="18"/>
          <w:lang w:val="nb-NO"/>
        </w:rPr>
      </w:pPr>
      <w:r w:rsidRPr="003C63FB">
        <w:rPr>
          <w:snapToGrid w:val="0"/>
          <w:sz w:val="18"/>
          <w:szCs w:val="18"/>
          <w:vertAlign w:val="superscript"/>
          <w:lang w:val="nb-NO"/>
        </w:rPr>
        <w:t>a</w:t>
      </w:r>
      <w:r w:rsidRPr="003C63FB">
        <w:rPr>
          <w:snapToGrid w:val="0"/>
          <w:sz w:val="18"/>
          <w:szCs w:val="18"/>
          <w:lang w:val="nb-NO"/>
        </w:rPr>
        <w:t xml:space="preserve"> I forhold til kontrolarmen</w:t>
      </w:r>
    </w:p>
    <w:p w14:paraId="01E7A4C5" w14:textId="77777777" w:rsidR="003563EF" w:rsidRPr="003C63FB" w:rsidRDefault="003563EF" w:rsidP="001278B6">
      <w:pPr>
        <w:pStyle w:val="a3"/>
        <w:widowControl/>
        <w:adjustRightInd w:val="0"/>
        <w:snapToGrid w:val="0"/>
        <w:rPr>
          <w:snapToGrid w:val="0"/>
          <w:lang w:val="nb-NO"/>
        </w:rPr>
      </w:pPr>
    </w:p>
    <w:p w14:paraId="2EA8BBF6" w14:textId="77777777" w:rsidR="003563EF" w:rsidRPr="003C63FB" w:rsidRDefault="00473235" w:rsidP="001278B6">
      <w:pPr>
        <w:pStyle w:val="a3"/>
        <w:widowControl/>
        <w:adjustRightInd w:val="0"/>
        <w:snapToGrid w:val="0"/>
        <w:rPr>
          <w:snapToGrid w:val="0"/>
          <w:lang w:val="nb-NO"/>
        </w:rPr>
      </w:pPr>
      <w:r w:rsidRPr="003C63FB">
        <w:rPr>
          <w:snapToGrid w:val="0"/>
          <w:lang w:val="nb-NO"/>
        </w:rPr>
        <w:lastRenderedPageBreak/>
        <w:t xml:space="preserve">I FOLFOX undergruppen var den mediane PFS 8,6 måneder i placebogruppen </w:t>
      </w:r>
      <w:r w:rsidRPr="003C63FB">
        <w:rPr>
          <w:i/>
          <w:snapToGrid w:val="0"/>
          <w:lang w:val="nb-NO"/>
        </w:rPr>
        <w:t xml:space="preserve">vs </w:t>
      </w:r>
      <w:r w:rsidRPr="003C63FB">
        <w:rPr>
          <w:snapToGrid w:val="0"/>
          <w:lang w:val="nb-NO"/>
        </w:rPr>
        <w:t>9,4 måneder for bevacizumab</w:t>
      </w:r>
      <w:r w:rsidR="004B3750" w:rsidRPr="003C63FB">
        <w:rPr>
          <w:snapToGrid w:val="0"/>
          <w:lang w:val="nb-NO"/>
        </w:rPr>
        <w:noBreakHyphen/>
      </w:r>
      <w:r w:rsidRPr="003C63FB">
        <w:rPr>
          <w:snapToGrid w:val="0"/>
          <w:lang w:val="nb-NO"/>
        </w:rPr>
        <w:t>behandlede patienter, HR = 0,89, 97,5 % konfidensinterval = [0,73</w:t>
      </w:r>
      <w:r w:rsidR="004B3750" w:rsidRPr="003C63FB">
        <w:rPr>
          <w:snapToGrid w:val="0"/>
          <w:lang w:val="nb-NO"/>
        </w:rPr>
        <w:noBreakHyphen/>
      </w:r>
      <w:r w:rsidRPr="003C63FB">
        <w:rPr>
          <w:snapToGrid w:val="0"/>
          <w:lang w:val="nb-NO"/>
        </w:rPr>
        <w:t>1,08]; p</w:t>
      </w:r>
      <w:r w:rsidR="004B3750" w:rsidRPr="003C63FB">
        <w:rPr>
          <w:snapToGrid w:val="0"/>
          <w:lang w:val="nb-NO"/>
        </w:rPr>
        <w:noBreakHyphen/>
      </w:r>
      <w:r w:rsidRPr="003C63FB">
        <w:rPr>
          <w:snapToGrid w:val="0"/>
          <w:lang w:val="nb-NO"/>
        </w:rPr>
        <w:t xml:space="preserve">værdi = 0,1871. Tilsvarende værdier for XELOX undergruppen var 7,4 måneder </w:t>
      </w:r>
      <w:r w:rsidRPr="003C63FB">
        <w:rPr>
          <w:i/>
          <w:snapToGrid w:val="0"/>
          <w:lang w:val="nb-NO"/>
        </w:rPr>
        <w:t xml:space="preserve">vs </w:t>
      </w:r>
      <w:r w:rsidRPr="003C63FB">
        <w:rPr>
          <w:snapToGrid w:val="0"/>
          <w:lang w:val="nb-NO"/>
        </w:rPr>
        <w:t>9,3 måneder, HR = 0,77, 97,5 % konfidensinterval = [0,63</w:t>
      </w:r>
      <w:r w:rsidR="004B3750" w:rsidRPr="003C63FB">
        <w:rPr>
          <w:snapToGrid w:val="0"/>
          <w:lang w:val="nb-NO"/>
        </w:rPr>
        <w:noBreakHyphen/>
      </w:r>
      <w:r w:rsidRPr="003C63FB">
        <w:rPr>
          <w:snapToGrid w:val="0"/>
          <w:lang w:val="nb-NO"/>
        </w:rPr>
        <w:t>0,94]; p</w:t>
      </w:r>
      <w:r w:rsidR="004B3750" w:rsidRPr="003C63FB">
        <w:rPr>
          <w:snapToGrid w:val="0"/>
          <w:lang w:val="nb-NO"/>
        </w:rPr>
        <w:noBreakHyphen/>
      </w:r>
      <w:r w:rsidRPr="003C63FB">
        <w:rPr>
          <w:snapToGrid w:val="0"/>
          <w:lang w:val="nb-NO"/>
        </w:rPr>
        <w:t>værdi = 0,0026.</w:t>
      </w:r>
    </w:p>
    <w:p w14:paraId="1A3F8E29" w14:textId="77777777" w:rsidR="003563EF" w:rsidRPr="003C63FB" w:rsidRDefault="003563EF" w:rsidP="001278B6">
      <w:pPr>
        <w:pStyle w:val="a3"/>
        <w:widowControl/>
        <w:adjustRightInd w:val="0"/>
        <w:snapToGrid w:val="0"/>
        <w:rPr>
          <w:snapToGrid w:val="0"/>
          <w:lang w:val="nb-NO"/>
        </w:rPr>
      </w:pPr>
    </w:p>
    <w:p w14:paraId="133D7172" w14:textId="33062915" w:rsidR="003563EF" w:rsidRPr="001278B6" w:rsidRDefault="00473235" w:rsidP="001278B6">
      <w:pPr>
        <w:pStyle w:val="a3"/>
        <w:widowControl/>
        <w:adjustRightInd w:val="0"/>
        <w:snapToGrid w:val="0"/>
        <w:rPr>
          <w:snapToGrid w:val="0"/>
          <w:lang w:val="da-DK"/>
        </w:rPr>
      </w:pPr>
      <w:r w:rsidRPr="003C63FB">
        <w:rPr>
          <w:snapToGrid w:val="0"/>
          <w:lang w:val="nb-NO"/>
        </w:rPr>
        <w:t>Den mediane</w:t>
      </w:r>
      <w:r w:rsidR="00052C55" w:rsidRPr="003C63FB">
        <w:rPr>
          <w:snapToGrid w:val="0"/>
          <w:lang w:val="nb-NO"/>
        </w:rPr>
        <w:t xml:space="preserve"> OS </w:t>
      </w:r>
      <w:r w:rsidRPr="003C63FB">
        <w:rPr>
          <w:snapToGrid w:val="0"/>
          <w:lang w:val="nb-NO"/>
        </w:rPr>
        <w:t xml:space="preserve">var 20,3 måneder for placebogruppen </w:t>
      </w:r>
      <w:r w:rsidRPr="003C63FB">
        <w:rPr>
          <w:i/>
          <w:snapToGrid w:val="0"/>
          <w:lang w:val="nb-NO"/>
        </w:rPr>
        <w:t xml:space="preserve">vs </w:t>
      </w:r>
      <w:r w:rsidRPr="003C63FB">
        <w:rPr>
          <w:snapToGrid w:val="0"/>
          <w:lang w:val="nb-NO"/>
        </w:rPr>
        <w:t>21,2 måneder for bevacizumab</w:t>
      </w:r>
      <w:r w:rsidR="004B3750" w:rsidRPr="003C63FB">
        <w:rPr>
          <w:snapToGrid w:val="0"/>
          <w:lang w:val="nb-NO"/>
        </w:rPr>
        <w:noBreakHyphen/>
      </w:r>
      <w:r w:rsidRPr="003C63FB">
        <w:rPr>
          <w:snapToGrid w:val="0"/>
          <w:lang w:val="nb-NO"/>
        </w:rPr>
        <w:t>behandlede patienter i FOLFOX undergruppen, HR = 0,94, 97,5 % konfidensinterval = [0,75</w:t>
      </w:r>
      <w:r w:rsidR="004B3750" w:rsidRPr="003C63FB">
        <w:rPr>
          <w:snapToGrid w:val="0"/>
          <w:lang w:val="nb-NO"/>
        </w:rPr>
        <w:noBreakHyphen/>
      </w:r>
      <w:r w:rsidRPr="003C63FB">
        <w:rPr>
          <w:snapToGrid w:val="0"/>
          <w:lang w:val="nb-NO"/>
        </w:rPr>
        <w:t>1,16]; p</w:t>
      </w:r>
      <w:r w:rsidR="004B3750" w:rsidRPr="003C63FB">
        <w:rPr>
          <w:snapToGrid w:val="0"/>
          <w:lang w:val="nb-NO"/>
        </w:rPr>
        <w:noBreakHyphen/>
      </w:r>
      <w:r w:rsidRPr="003C63FB">
        <w:rPr>
          <w:snapToGrid w:val="0"/>
          <w:lang w:val="nb-NO"/>
        </w:rPr>
        <w:t xml:space="preserve">værdi = 0,4937. </w:t>
      </w:r>
      <w:r w:rsidRPr="001278B6">
        <w:rPr>
          <w:snapToGrid w:val="0"/>
          <w:lang w:val="da-DK"/>
        </w:rPr>
        <w:t xml:space="preserve">Tilsvarende værdier for XELOX undergruppen var 19,2 </w:t>
      </w:r>
      <w:r w:rsidRPr="001278B6">
        <w:rPr>
          <w:i/>
          <w:snapToGrid w:val="0"/>
          <w:lang w:val="da-DK"/>
        </w:rPr>
        <w:t xml:space="preserve">vs </w:t>
      </w:r>
      <w:r w:rsidRPr="001278B6">
        <w:rPr>
          <w:snapToGrid w:val="0"/>
          <w:lang w:val="da-DK"/>
        </w:rPr>
        <w:t>21,4</w:t>
      </w:r>
    </w:p>
    <w:p w14:paraId="3735DEE2" w14:textId="77777777" w:rsidR="003563EF" w:rsidRPr="001278B6" w:rsidRDefault="00473235" w:rsidP="001278B6">
      <w:pPr>
        <w:pStyle w:val="a3"/>
        <w:widowControl/>
        <w:adjustRightInd w:val="0"/>
        <w:snapToGrid w:val="0"/>
        <w:rPr>
          <w:snapToGrid w:val="0"/>
          <w:lang w:val="da-DK"/>
        </w:rPr>
      </w:pPr>
      <w:r w:rsidRPr="001278B6">
        <w:rPr>
          <w:snapToGrid w:val="0"/>
          <w:lang w:val="da-DK"/>
        </w:rPr>
        <w:t>måneder, HR = 0,84, 97,5 % konfidensinterval = [0,68</w:t>
      </w:r>
      <w:r w:rsidR="004B3750">
        <w:rPr>
          <w:snapToGrid w:val="0"/>
          <w:lang w:val="da-DK"/>
        </w:rPr>
        <w:noBreakHyphen/>
      </w:r>
      <w:r w:rsidRPr="001278B6">
        <w:rPr>
          <w:snapToGrid w:val="0"/>
          <w:lang w:val="da-DK"/>
        </w:rPr>
        <w:t>1,04]; p</w:t>
      </w:r>
      <w:r w:rsidR="004B3750">
        <w:rPr>
          <w:snapToGrid w:val="0"/>
          <w:lang w:val="da-DK"/>
        </w:rPr>
        <w:noBreakHyphen/>
      </w:r>
      <w:r w:rsidRPr="001278B6">
        <w:rPr>
          <w:snapToGrid w:val="0"/>
          <w:lang w:val="da-DK"/>
        </w:rPr>
        <w:t>værdi = 0,0698.</w:t>
      </w:r>
    </w:p>
    <w:p w14:paraId="28B44DFC" w14:textId="77777777" w:rsidR="003563EF" w:rsidRPr="001278B6" w:rsidRDefault="003563EF" w:rsidP="001278B6">
      <w:pPr>
        <w:pStyle w:val="a3"/>
        <w:widowControl/>
        <w:adjustRightInd w:val="0"/>
        <w:snapToGrid w:val="0"/>
        <w:rPr>
          <w:snapToGrid w:val="0"/>
          <w:lang w:val="da-DK"/>
        </w:rPr>
      </w:pPr>
    </w:p>
    <w:p w14:paraId="282073C5"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ECOG E3200</w:t>
      </w:r>
    </w:p>
    <w:p w14:paraId="0006216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Dette var et fase III, randomiseret, aktivt kontrolleret, ublindet studie, som undersøgte </w:t>
      </w:r>
      <w:r w:rsidR="00EC6AEB">
        <w:rPr>
          <w:snapToGrid w:val="0"/>
          <w:lang w:val="da-DK"/>
        </w:rPr>
        <w:t>bevacizumab</w:t>
      </w:r>
      <w:r w:rsidR="00FD7DCE">
        <w:rPr>
          <w:snapToGrid w:val="0"/>
          <w:lang w:val="da-DK"/>
        </w:rPr>
        <w:t xml:space="preserve"> </w:t>
      </w:r>
      <w:r w:rsidRPr="001278B6">
        <w:rPr>
          <w:snapToGrid w:val="0"/>
          <w:lang w:val="da-DK"/>
        </w:rPr>
        <w:t>10</w:t>
      </w:r>
      <w:r w:rsidR="00FD7DCE">
        <w:rPr>
          <w:snapToGrid w:val="0"/>
          <w:lang w:val="da-DK"/>
        </w:rPr>
        <w:t> </w:t>
      </w:r>
      <w:r w:rsidRPr="001278B6">
        <w:rPr>
          <w:snapToGrid w:val="0"/>
          <w:lang w:val="da-DK"/>
        </w:rPr>
        <w:t>mg/kg i kombination med leucovorin og 5</w:t>
      </w:r>
      <w:r w:rsidR="004B3750">
        <w:rPr>
          <w:snapToGrid w:val="0"/>
          <w:lang w:val="da-DK"/>
        </w:rPr>
        <w:noBreakHyphen/>
      </w:r>
      <w:r w:rsidRPr="001278B6">
        <w:rPr>
          <w:snapToGrid w:val="0"/>
          <w:lang w:val="da-DK"/>
        </w:rPr>
        <w:t>fluoruracil bolus efterfulgt af 5</w:t>
      </w:r>
      <w:r w:rsidR="004B3750">
        <w:rPr>
          <w:snapToGrid w:val="0"/>
          <w:lang w:val="da-DK"/>
        </w:rPr>
        <w:noBreakHyphen/>
      </w:r>
      <w:r w:rsidRPr="001278B6">
        <w:rPr>
          <w:snapToGrid w:val="0"/>
          <w:lang w:val="da-DK"/>
        </w:rPr>
        <w:t>fluoruracil infusion med</w:t>
      </w:r>
      <w:r w:rsidR="00FD7DCE">
        <w:rPr>
          <w:snapToGrid w:val="0"/>
          <w:lang w:val="da-DK"/>
        </w:rPr>
        <w:t xml:space="preserve"> </w:t>
      </w:r>
      <w:r w:rsidRPr="001278B6">
        <w:rPr>
          <w:snapToGrid w:val="0"/>
          <w:lang w:val="da-DK"/>
        </w:rPr>
        <w:t>i</w:t>
      </w:r>
      <w:r w:rsidR="00EC6AEB">
        <w:rPr>
          <w:snapToGrid w:val="0"/>
          <w:lang w:val="da-DK"/>
        </w:rPr>
        <w:t>ntravenøs</w:t>
      </w:r>
      <w:r w:rsidRPr="001278B6">
        <w:rPr>
          <w:snapToGrid w:val="0"/>
          <w:lang w:val="da-DK"/>
        </w:rPr>
        <w:t xml:space="preserve"> oxaliplatin (FOLFOX</w:t>
      </w:r>
      <w:r w:rsidR="004B3750">
        <w:rPr>
          <w:snapToGrid w:val="0"/>
          <w:lang w:val="da-DK"/>
        </w:rPr>
        <w:noBreakHyphen/>
      </w:r>
      <w:r w:rsidRPr="001278B6">
        <w:rPr>
          <w:snapToGrid w:val="0"/>
          <w:lang w:val="da-DK"/>
        </w:rPr>
        <w:t>4), administreret hver 2. uge til tidligere behandlede (2. linje) patienter med fremskreden kolorektalkræft. I kemoterapiarmene anvendtes et FOLFOX</w:t>
      </w:r>
      <w:r w:rsidR="004B3750">
        <w:rPr>
          <w:snapToGrid w:val="0"/>
          <w:lang w:val="da-DK"/>
        </w:rPr>
        <w:noBreakHyphen/>
      </w:r>
      <w:r w:rsidRPr="001278B6">
        <w:rPr>
          <w:snapToGrid w:val="0"/>
          <w:lang w:val="da-DK"/>
        </w:rPr>
        <w:t>4 regime med samme dosering og frekvens som vist i tabel 6 for studie NO16966.</w:t>
      </w:r>
    </w:p>
    <w:p w14:paraId="063B9E1F" w14:textId="77777777" w:rsidR="003563EF" w:rsidRPr="001278B6" w:rsidRDefault="003563EF" w:rsidP="001278B6">
      <w:pPr>
        <w:pStyle w:val="a3"/>
        <w:widowControl/>
        <w:adjustRightInd w:val="0"/>
        <w:snapToGrid w:val="0"/>
        <w:rPr>
          <w:snapToGrid w:val="0"/>
          <w:lang w:val="da-DK"/>
        </w:rPr>
      </w:pPr>
    </w:p>
    <w:p w14:paraId="382DC5DC" w14:textId="7FC1A558" w:rsidR="003563EF" w:rsidRPr="001278B6" w:rsidRDefault="00473235" w:rsidP="001278B6">
      <w:pPr>
        <w:pStyle w:val="a3"/>
        <w:widowControl/>
        <w:adjustRightInd w:val="0"/>
        <w:snapToGrid w:val="0"/>
        <w:rPr>
          <w:snapToGrid w:val="0"/>
          <w:lang w:val="da-DK"/>
        </w:rPr>
      </w:pPr>
      <w:r w:rsidRPr="001278B6">
        <w:rPr>
          <w:snapToGrid w:val="0"/>
          <w:lang w:val="da-DK"/>
        </w:rPr>
        <w:t xml:space="preserve">Den primære effektparameter for studiet var </w:t>
      </w:r>
      <w:r w:rsidR="00052C55">
        <w:rPr>
          <w:snapToGrid w:val="0"/>
          <w:lang w:val="da-DK"/>
        </w:rPr>
        <w:t>OS</w:t>
      </w:r>
      <w:r w:rsidRPr="001278B6">
        <w:rPr>
          <w:snapToGrid w:val="0"/>
          <w:lang w:val="da-DK"/>
        </w:rPr>
        <w:t>, defineret som tid fra randomisering til død, uanset årsag. 829 patienter blev randomiseret (292 FOLFOX</w:t>
      </w:r>
      <w:r w:rsidR="004B3750">
        <w:rPr>
          <w:snapToGrid w:val="0"/>
          <w:lang w:val="da-DK"/>
        </w:rPr>
        <w:noBreakHyphen/>
      </w:r>
      <w:r w:rsidRPr="001278B6">
        <w:rPr>
          <w:snapToGrid w:val="0"/>
          <w:lang w:val="da-DK"/>
        </w:rPr>
        <w:t xml:space="preserve">4, 293 </w:t>
      </w:r>
      <w:r w:rsidR="00EC6AEB">
        <w:rPr>
          <w:snapToGrid w:val="0"/>
          <w:lang w:val="da-DK"/>
        </w:rPr>
        <w:t>bevacizumab</w:t>
      </w:r>
      <w:r w:rsidRPr="001278B6">
        <w:rPr>
          <w:snapToGrid w:val="0"/>
          <w:lang w:val="da-DK"/>
        </w:rPr>
        <w:t xml:space="preserve"> + FOLFOX</w:t>
      </w:r>
      <w:r w:rsidR="004B3750">
        <w:rPr>
          <w:snapToGrid w:val="0"/>
          <w:lang w:val="da-DK"/>
        </w:rPr>
        <w:noBreakHyphen/>
      </w:r>
      <w:r w:rsidRPr="001278B6">
        <w:rPr>
          <w:snapToGrid w:val="0"/>
          <w:lang w:val="da-DK"/>
        </w:rPr>
        <w:t xml:space="preserve">4 og 244 </w:t>
      </w:r>
      <w:r w:rsidR="00EC6AEB">
        <w:rPr>
          <w:snapToGrid w:val="0"/>
          <w:lang w:val="da-DK"/>
        </w:rPr>
        <w:t>bevacizumab</w:t>
      </w:r>
      <w:r w:rsidRPr="001278B6">
        <w:rPr>
          <w:snapToGrid w:val="0"/>
          <w:lang w:val="da-DK"/>
        </w:rPr>
        <w:t xml:space="preserve"> monoterapi). Tillæg af </w:t>
      </w:r>
      <w:r w:rsidR="00EC6AEB">
        <w:rPr>
          <w:snapToGrid w:val="0"/>
          <w:lang w:val="da-DK"/>
        </w:rPr>
        <w:t>bevacizumab</w:t>
      </w:r>
      <w:r w:rsidRPr="001278B6">
        <w:rPr>
          <w:snapToGrid w:val="0"/>
          <w:lang w:val="da-DK"/>
        </w:rPr>
        <w:t xml:space="preserve"> til FOLFOX</w:t>
      </w:r>
      <w:r w:rsidR="004B3750">
        <w:rPr>
          <w:snapToGrid w:val="0"/>
          <w:lang w:val="da-DK"/>
        </w:rPr>
        <w:noBreakHyphen/>
      </w:r>
      <w:r w:rsidRPr="001278B6">
        <w:rPr>
          <w:snapToGrid w:val="0"/>
          <w:lang w:val="da-DK"/>
        </w:rPr>
        <w:t xml:space="preserve">4 gav en statistisk signifikant forlængelse af overlevelse. Statistisk signifikante forbedringer i den </w:t>
      </w:r>
      <w:r w:rsidR="00052C55">
        <w:rPr>
          <w:snapToGrid w:val="0"/>
          <w:lang w:val="da-DK"/>
        </w:rPr>
        <w:t>PFS</w:t>
      </w:r>
      <w:r w:rsidRPr="001278B6">
        <w:rPr>
          <w:snapToGrid w:val="0"/>
          <w:lang w:val="da-DK"/>
        </w:rPr>
        <w:t xml:space="preserve"> og objektive responsrate sås også (se tabel 8).</w:t>
      </w:r>
    </w:p>
    <w:p w14:paraId="4F0C4BB3" w14:textId="77777777" w:rsidR="0079124A" w:rsidRPr="001278B6" w:rsidRDefault="0079124A" w:rsidP="001278B6">
      <w:pPr>
        <w:widowControl/>
        <w:adjustRightInd w:val="0"/>
        <w:snapToGrid w:val="0"/>
        <w:rPr>
          <w:snapToGrid w:val="0"/>
          <w:lang w:val="da-DK"/>
        </w:rPr>
      </w:pPr>
    </w:p>
    <w:p w14:paraId="25C1044B" w14:textId="77777777" w:rsidR="003563EF" w:rsidRPr="00765991" w:rsidRDefault="00473235" w:rsidP="00765991">
      <w:pPr>
        <w:ind w:left="1134" w:hanging="1134"/>
        <w:rPr>
          <w:b/>
          <w:bCs/>
          <w:snapToGrid w:val="0"/>
          <w:lang w:val="da-DK"/>
        </w:rPr>
      </w:pPr>
      <w:r w:rsidRPr="00765991">
        <w:rPr>
          <w:b/>
          <w:bCs/>
          <w:snapToGrid w:val="0"/>
          <w:lang w:val="da-DK"/>
        </w:rPr>
        <w:t>Tabel 8.</w:t>
      </w:r>
      <w:r w:rsidRPr="00765991">
        <w:rPr>
          <w:b/>
          <w:bCs/>
          <w:snapToGrid w:val="0"/>
          <w:lang w:val="da-DK"/>
        </w:rPr>
        <w:tab/>
        <w:t>Effektresultater fra studie E3200</w:t>
      </w:r>
    </w:p>
    <w:p w14:paraId="78CE8B28" w14:textId="77777777" w:rsidR="003563EF" w:rsidRPr="00765991" w:rsidRDefault="003563EF" w:rsidP="001278B6">
      <w:pPr>
        <w:pStyle w:val="a3"/>
        <w:keepNext/>
        <w:keepLines/>
        <w:widowControl/>
        <w:adjustRightInd w:val="0"/>
        <w:snapToGrid w:val="0"/>
        <w:rPr>
          <w:b/>
          <w:bCs/>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1"/>
        <w:gridCol w:w="2116"/>
        <w:gridCol w:w="2239"/>
      </w:tblGrid>
      <w:tr w:rsidR="003563EF" w:rsidRPr="005476B6" w14:paraId="3D50531B" w14:textId="77777777" w:rsidTr="00B61A22">
        <w:trPr>
          <w:tblHeader/>
        </w:trPr>
        <w:tc>
          <w:tcPr>
            <w:tcW w:w="4390" w:type="dxa"/>
            <w:vMerge w:val="restart"/>
            <w:tcBorders>
              <w:left w:val="single" w:sz="8" w:space="0" w:color="000000"/>
              <w:bottom w:val="single" w:sz="8" w:space="0" w:color="000000"/>
              <w:right w:val="single" w:sz="8" w:space="0" w:color="000000"/>
            </w:tcBorders>
          </w:tcPr>
          <w:p w14:paraId="26BD7C89" w14:textId="77777777" w:rsidR="003563EF" w:rsidRPr="001278B6" w:rsidRDefault="003563EF" w:rsidP="001278B6">
            <w:pPr>
              <w:pStyle w:val="TableParagraph"/>
              <w:keepNext/>
              <w:keepLines/>
              <w:widowControl/>
              <w:adjustRightInd w:val="0"/>
              <w:snapToGrid w:val="0"/>
              <w:rPr>
                <w:snapToGrid w:val="0"/>
                <w:sz w:val="20"/>
                <w:lang w:val="da-DK"/>
              </w:rPr>
            </w:pPr>
          </w:p>
        </w:tc>
        <w:tc>
          <w:tcPr>
            <w:tcW w:w="4067" w:type="dxa"/>
            <w:gridSpan w:val="2"/>
            <w:tcBorders>
              <w:left w:val="single" w:sz="8" w:space="0" w:color="000000"/>
              <w:bottom w:val="single" w:sz="8" w:space="0" w:color="000000"/>
              <w:right w:val="single" w:sz="8" w:space="0" w:color="000000"/>
            </w:tcBorders>
          </w:tcPr>
          <w:p w14:paraId="4E5F691D"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E3200</w:t>
            </w:r>
          </w:p>
        </w:tc>
      </w:tr>
      <w:tr w:rsidR="003563EF" w:rsidRPr="005476B6" w14:paraId="2443500B" w14:textId="77777777" w:rsidTr="001278B6">
        <w:trPr>
          <w:tblHeader/>
        </w:trPr>
        <w:tc>
          <w:tcPr>
            <w:tcW w:w="4390" w:type="dxa"/>
            <w:vMerge/>
            <w:tcBorders>
              <w:top w:val="nil"/>
              <w:left w:val="single" w:sz="8" w:space="0" w:color="000000"/>
              <w:bottom w:val="single" w:sz="8" w:space="0" w:color="000000"/>
              <w:right w:val="single" w:sz="8" w:space="0" w:color="000000"/>
            </w:tcBorders>
          </w:tcPr>
          <w:p w14:paraId="4D90F6EB" w14:textId="77777777" w:rsidR="003563EF" w:rsidRPr="001278B6" w:rsidRDefault="003563EF" w:rsidP="001278B6">
            <w:pPr>
              <w:keepNext/>
              <w:keepLines/>
              <w:widowControl/>
              <w:adjustRightInd w:val="0"/>
              <w:snapToGrid w:val="0"/>
              <w:rPr>
                <w:snapToGrid w:val="0"/>
                <w:sz w:val="20"/>
                <w:szCs w:val="2"/>
                <w:lang w:val="da-DK"/>
              </w:rPr>
            </w:pPr>
          </w:p>
        </w:tc>
        <w:tc>
          <w:tcPr>
            <w:tcW w:w="1976" w:type="dxa"/>
            <w:tcBorders>
              <w:top w:val="single" w:sz="8" w:space="0" w:color="000000"/>
              <w:left w:val="single" w:sz="8" w:space="0" w:color="000000"/>
              <w:bottom w:val="single" w:sz="8" w:space="0" w:color="000000"/>
            </w:tcBorders>
            <w:vAlign w:val="center"/>
          </w:tcPr>
          <w:p w14:paraId="4D5D737B"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FOLFOX</w:t>
            </w:r>
            <w:r w:rsidR="004B3750">
              <w:rPr>
                <w:b/>
                <w:bCs/>
                <w:snapToGrid w:val="0"/>
                <w:sz w:val="20"/>
                <w:lang w:val="da-DK"/>
              </w:rPr>
              <w:noBreakHyphen/>
            </w:r>
            <w:r w:rsidRPr="001278B6">
              <w:rPr>
                <w:b/>
                <w:bCs/>
                <w:snapToGrid w:val="0"/>
                <w:sz w:val="20"/>
                <w:lang w:val="da-DK"/>
              </w:rPr>
              <w:t>4</w:t>
            </w:r>
          </w:p>
        </w:tc>
        <w:tc>
          <w:tcPr>
            <w:tcW w:w="2091" w:type="dxa"/>
            <w:tcBorders>
              <w:top w:val="single" w:sz="8" w:space="0" w:color="000000"/>
              <w:bottom w:val="single" w:sz="8" w:space="0" w:color="000000"/>
              <w:right w:val="single" w:sz="8" w:space="0" w:color="000000"/>
            </w:tcBorders>
            <w:vAlign w:val="center"/>
          </w:tcPr>
          <w:p w14:paraId="152414EC"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FOLFOX</w:t>
            </w:r>
            <w:r w:rsidR="004B3750">
              <w:rPr>
                <w:b/>
                <w:bCs/>
                <w:snapToGrid w:val="0"/>
                <w:sz w:val="20"/>
                <w:lang w:val="da-DK"/>
              </w:rPr>
              <w:noBreakHyphen/>
            </w:r>
            <w:r w:rsidRPr="001278B6">
              <w:rPr>
                <w:b/>
                <w:bCs/>
                <w:snapToGrid w:val="0"/>
                <w:sz w:val="20"/>
                <w:lang w:val="da-DK"/>
              </w:rPr>
              <w:t>4</w:t>
            </w:r>
            <w:r w:rsidR="00103F57" w:rsidRPr="001278B6">
              <w:rPr>
                <w:b/>
                <w:bCs/>
                <w:snapToGrid w:val="0"/>
                <w:sz w:val="20"/>
                <w:lang w:val="da-DK"/>
              </w:rPr>
              <w:t xml:space="preserve"> </w:t>
            </w:r>
            <w:r w:rsidR="0041359F">
              <w:rPr>
                <w:b/>
                <w:bCs/>
                <w:snapToGrid w:val="0"/>
                <w:sz w:val="20"/>
                <w:lang w:val="da-DK"/>
              </w:rPr>
              <w:br/>
            </w:r>
            <w:r w:rsidR="00103F57" w:rsidRPr="001278B6">
              <w:rPr>
                <w:b/>
                <w:bCs/>
                <w:snapToGrid w:val="0"/>
                <w:sz w:val="20"/>
                <w:lang w:val="da-DK"/>
              </w:rPr>
              <w:t xml:space="preserve">+ </w:t>
            </w:r>
            <w:r w:rsidR="00EC6AEB">
              <w:rPr>
                <w:b/>
                <w:bCs/>
                <w:snapToGrid w:val="0"/>
                <w:sz w:val="20"/>
                <w:lang w:val="da-DK"/>
              </w:rPr>
              <w:t>Bevacizumab</w:t>
            </w:r>
            <w:r w:rsidRPr="001278B6">
              <w:rPr>
                <w:b/>
                <w:bCs/>
                <w:snapToGrid w:val="0"/>
                <w:sz w:val="20"/>
                <w:vertAlign w:val="superscript"/>
                <w:lang w:val="da-DK"/>
              </w:rPr>
              <w:t>a</w:t>
            </w:r>
          </w:p>
        </w:tc>
      </w:tr>
      <w:tr w:rsidR="003563EF" w:rsidRPr="005476B6" w14:paraId="5AFB8D66" w14:textId="77777777" w:rsidTr="00B61A22">
        <w:tc>
          <w:tcPr>
            <w:tcW w:w="4390" w:type="dxa"/>
            <w:tcBorders>
              <w:top w:val="single" w:sz="8" w:space="0" w:color="000000"/>
              <w:left w:val="single" w:sz="8" w:space="0" w:color="000000"/>
              <w:right w:val="single" w:sz="8" w:space="0" w:color="000000"/>
            </w:tcBorders>
          </w:tcPr>
          <w:p w14:paraId="45627336"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Antal patienter</w:t>
            </w:r>
          </w:p>
        </w:tc>
        <w:tc>
          <w:tcPr>
            <w:tcW w:w="1976" w:type="dxa"/>
            <w:tcBorders>
              <w:top w:val="single" w:sz="8" w:space="0" w:color="000000"/>
              <w:left w:val="single" w:sz="8" w:space="0" w:color="000000"/>
            </w:tcBorders>
          </w:tcPr>
          <w:p w14:paraId="6CEAC7D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292</w:t>
            </w:r>
          </w:p>
        </w:tc>
        <w:tc>
          <w:tcPr>
            <w:tcW w:w="2091" w:type="dxa"/>
            <w:tcBorders>
              <w:top w:val="single" w:sz="8" w:space="0" w:color="000000"/>
              <w:right w:val="single" w:sz="8" w:space="0" w:color="000000"/>
            </w:tcBorders>
          </w:tcPr>
          <w:p w14:paraId="060077A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293</w:t>
            </w:r>
          </w:p>
        </w:tc>
      </w:tr>
      <w:tr w:rsidR="003563EF" w:rsidRPr="005476B6" w14:paraId="7A5ED9C0" w14:textId="77777777" w:rsidTr="00B61A22">
        <w:tc>
          <w:tcPr>
            <w:tcW w:w="8457" w:type="dxa"/>
            <w:gridSpan w:val="3"/>
            <w:tcBorders>
              <w:left w:val="single" w:sz="8" w:space="0" w:color="000000"/>
              <w:right w:val="single" w:sz="8" w:space="0" w:color="000000"/>
            </w:tcBorders>
          </w:tcPr>
          <w:p w14:paraId="7F6C5752"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Samlet overlevelse</w:t>
            </w:r>
          </w:p>
        </w:tc>
      </w:tr>
      <w:tr w:rsidR="003563EF" w:rsidRPr="005476B6" w14:paraId="3403FCCF" w14:textId="77777777" w:rsidTr="00B61A22">
        <w:tc>
          <w:tcPr>
            <w:tcW w:w="4390" w:type="dxa"/>
            <w:tcBorders>
              <w:left w:val="single" w:sz="8" w:space="0" w:color="000000"/>
              <w:right w:val="single" w:sz="8" w:space="0" w:color="000000"/>
            </w:tcBorders>
          </w:tcPr>
          <w:p w14:paraId="23D4896C"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Median (måneder)</w:t>
            </w:r>
          </w:p>
        </w:tc>
        <w:tc>
          <w:tcPr>
            <w:tcW w:w="1976" w:type="dxa"/>
            <w:tcBorders>
              <w:left w:val="single" w:sz="8" w:space="0" w:color="000000"/>
            </w:tcBorders>
          </w:tcPr>
          <w:p w14:paraId="2BA8B2A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10,8</w:t>
            </w:r>
          </w:p>
        </w:tc>
        <w:tc>
          <w:tcPr>
            <w:tcW w:w="2091" w:type="dxa"/>
            <w:tcBorders>
              <w:right w:val="single" w:sz="8" w:space="0" w:color="000000"/>
            </w:tcBorders>
          </w:tcPr>
          <w:p w14:paraId="01DA6FE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13,0</w:t>
            </w:r>
          </w:p>
        </w:tc>
      </w:tr>
      <w:tr w:rsidR="003563EF" w:rsidRPr="005476B6" w14:paraId="1163DC02" w14:textId="77777777" w:rsidTr="00B61A22">
        <w:tc>
          <w:tcPr>
            <w:tcW w:w="4390" w:type="dxa"/>
            <w:tcBorders>
              <w:left w:val="single" w:sz="8" w:space="0" w:color="000000"/>
              <w:right w:val="single" w:sz="8" w:space="0" w:color="000000"/>
            </w:tcBorders>
          </w:tcPr>
          <w:p w14:paraId="18066FC4"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95 % konfidensinterval</w:t>
            </w:r>
          </w:p>
        </w:tc>
        <w:tc>
          <w:tcPr>
            <w:tcW w:w="1976" w:type="dxa"/>
            <w:tcBorders>
              <w:left w:val="single" w:sz="8" w:space="0" w:color="000000"/>
            </w:tcBorders>
          </w:tcPr>
          <w:p w14:paraId="49FA5F2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10,12</w:t>
            </w:r>
            <w:r w:rsidR="004B3750">
              <w:rPr>
                <w:snapToGrid w:val="0"/>
                <w:sz w:val="20"/>
                <w:lang w:val="da-DK"/>
              </w:rPr>
              <w:noBreakHyphen/>
            </w:r>
            <w:r w:rsidRPr="001278B6">
              <w:rPr>
                <w:snapToGrid w:val="0"/>
                <w:sz w:val="20"/>
                <w:lang w:val="da-DK"/>
              </w:rPr>
              <w:t>11,86</w:t>
            </w:r>
          </w:p>
        </w:tc>
        <w:tc>
          <w:tcPr>
            <w:tcW w:w="2091" w:type="dxa"/>
            <w:tcBorders>
              <w:right w:val="single" w:sz="8" w:space="0" w:color="000000"/>
            </w:tcBorders>
          </w:tcPr>
          <w:p w14:paraId="2521812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12,09</w:t>
            </w:r>
            <w:r w:rsidR="004B3750">
              <w:rPr>
                <w:snapToGrid w:val="0"/>
                <w:sz w:val="20"/>
                <w:lang w:val="da-DK"/>
              </w:rPr>
              <w:noBreakHyphen/>
            </w:r>
            <w:r w:rsidRPr="001278B6">
              <w:rPr>
                <w:snapToGrid w:val="0"/>
                <w:sz w:val="20"/>
                <w:lang w:val="da-DK"/>
              </w:rPr>
              <w:t>14,03</w:t>
            </w:r>
          </w:p>
        </w:tc>
      </w:tr>
      <w:tr w:rsidR="003563EF" w:rsidRPr="005476B6" w14:paraId="7F3D08CC" w14:textId="77777777" w:rsidTr="00B61A22">
        <w:tc>
          <w:tcPr>
            <w:tcW w:w="4390" w:type="dxa"/>
            <w:tcBorders>
              <w:left w:val="single" w:sz="8" w:space="0" w:color="000000"/>
              <w:right w:val="single" w:sz="8" w:space="0" w:color="000000"/>
            </w:tcBorders>
          </w:tcPr>
          <w:p w14:paraId="3EFBE65C" w14:textId="77777777" w:rsidR="003563EF" w:rsidRPr="00015B05" w:rsidRDefault="00473235" w:rsidP="001278B6">
            <w:pPr>
              <w:pStyle w:val="TableParagraph"/>
              <w:widowControl/>
              <w:adjustRightInd w:val="0"/>
              <w:snapToGrid w:val="0"/>
              <w:ind w:left="180"/>
              <w:rPr>
                <w:iCs/>
                <w:snapToGrid w:val="0"/>
                <w:sz w:val="20"/>
                <w:lang w:val="da-DK"/>
              </w:rPr>
            </w:pPr>
            <w:r w:rsidRPr="00F466A3">
              <w:rPr>
                <w:iCs/>
                <w:snapToGrid w:val="0"/>
                <w:sz w:val="20"/>
                <w:lang w:val="da-DK"/>
              </w:rPr>
              <w:t xml:space="preserve">Hazard </w:t>
            </w:r>
            <w:r w:rsidRPr="00015B05">
              <w:rPr>
                <w:iCs/>
                <w:snapToGrid w:val="0"/>
                <w:sz w:val="20"/>
                <w:lang w:val="da-DK"/>
              </w:rPr>
              <w:t>ratio</w:t>
            </w:r>
            <w:r w:rsidRPr="00015B05">
              <w:rPr>
                <w:iCs/>
                <w:snapToGrid w:val="0"/>
                <w:sz w:val="20"/>
                <w:vertAlign w:val="superscript"/>
                <w:lang w:val="da-DK"/>
              </w:rPr>
              <w:t>b</w:t>
            </w:r>
          </w:p>
        </w:tc>
        <w:tc>
          <w:tcPr>
            <w:tcW w:w="4067" w:type="dxa"/>
            <w:gridSpan w:val="2"/>
            <w:tcBorders>
              <w:left w:val="single" w:sz="8" w:space="0" w:color="000000"/>
              <w:right w:val="single" w:sz="8" w:space="0" w:color="000000"/>
            </w:tcBorders>
          </w:tcPr>
          <w:p w14:paraId="60C122A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0,751</w:t>
            </w:r>
          </w:p>
          <w:p w14:paraId="6C5B223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0,0012)</w:t>
            </w:r>
          </w:p>
        </w:tc>
      </w:tr>
      <w:tr w:rsidR="003563EF" w:rsidRPr="005476B6" w14:paraId="5E412E42" w14:textId="77777777" w:rsidTr="00B61A22">
        <w:tc>
          <w:tcPr>
            <w:tcW w:w="8457" w:type="dxa"/>
            <w:gridSpan w:val="3"/>
          </w:tcPr>
          <w:p w14:paraId="63877284"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Progressionsfri overlevelse</w:t>
            </w:r>
          </w:p>
        </w:tc>
      </w:tr>
      <w:tr w:rsidR="003563EF" w:rsidRPr="005476B6" w14:paraId="0F109A2B" w14:textId="77777777" w:rsidTr="00B61A22">
        <w:tc>
          <w:tcPr>
            <w:tcW w:w="4390" w:type="dxa"/>
          </w:tcPr>
          <w:p w14:paraId="059880EF"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Median (måneder)</w:t>
            </w:r>
          </w:p>
        </w:tc>
        <w:tc>
          <w:tcPr>
            <w:tcW w:w="1976" w:type="dxa"/>
          </w:tcPr>
          <w:p w14:paraId="4696F3F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4,5</w:t>
            </w:r>
          </w:p>
        </w:tc>
        <w:tc>
          <w:tcPr>
            <w:tcW w:w="2091" w:type="dxa"/>
          </w:tcPr>
          <w:p w14:paraId="281A2BD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7,5</w:t>
            </w:r>
          </w:p>
        </w:tc>
      </w:tr>
      <w:tr w:rsidR="003563EF" w:rsidRPr="005476B6" w14:paraId="0C666219" w14:textId="77777777" w:rsidTr="00B61A22">
        <w:tc>
          <w:tcPr>
            <w:tcW w:w="4390" w:type="dxa"/>
          </w:tcPr>
          <w:p w14:paraId="0AF72CE8" w14:textId="77777777" w:rsidR="003563EF" w:rsidRPr="001278B6" w:rsidRDefault="00473235" w:rsidP="001278B6">
            <w:pPr>
              <w:pStyle w:val="TableParagraph"/>
              <w:widowControl/>
              <w:adjustRightInd w:val="0"/>
              <w:snapToGrid w:val="0"/>
              <w:ind w:left="180"/>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w:t>
            </w:r>
          </w:p>
        </w:tc>
        <w:tc>
          <w:tcPr>
            <w:tcW w:w="4067" w:type="dxa"/>
            <w:gridSpan w:val="2"/>
          </w:tcPr>
          <w:p w14:paraId="4782661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0,518</w:t>
            </w:r>
          </w:p>
          <w:p w14:paraId="709482A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 xml:space="preserve">værdi </w:t>
            </w:r>
            <w:r w:rsidR="00E06787" w:rsidRPr="00A92059">
              <w:rPr>
                <w:sz w:val="20"/>
                <w:szCs w:val="20"/>
              </w:rPr>
              <w:t>&lt;</w:t>
            </w:r>
            <w:r w:rsidRPr="001278B6">
              <w:rPr>
                <w:snapToGrid w:val="0"/>
                <w:sz w:val="20"/>
                <w:lang w:val="da-DK"/>
              </w:rPr>
              <w:t xml:space="preserve"> 0,0001)</w:t>
            </w:r>
          </w:p>
        </w:tc>
      </w:tr>
      <w:tr w:rsidR="003563EF" w:rsidRPr="005476B6" w14:paraId="5151A0CB" w14:textId="77777777" w:rsidTr="00B61A22">
        <w:tc>
          <w:tcPr>
            <w:tcW w:w="8457" w:type="dxa"/>
            <w:gridSpan w:val="3"/>
          </w:tcPr>
          <w:p w14:paraId="4ECE098F"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Objektiv responsrate</w:t>
            </w:r>
          </w:p>
        </w:tc>
      </w:tr>
      <w:tr w:rsidR="003563EF" w:rsidRPr="005476B6" w14:paraId="2B8E2523" w14:textId="77777777" w:rsidTr="00B61A22">
        <w:tc>
          <w:tcPr>
            <w:tcW w:w="4390" w:type="dxa"/>
          </w:tcPr>
          <w:p w14:paraId="43927086" w14:textId="77777777" w:rsidR="003563EF" w:rsidRPr="001278B6" w:rsidRDefault="00473235" w:rsidP="001278B6">
            <w:pPr>
              <w:pStyle w:val="TableParagraph"/>
              <w:widowControl/>
              <w:adjustRightInd w:val="0"/>
              <w:snapToGrid w:val="0"/>
              <w:ind w:left="180"/>
              <w:rPr>
                <w:snapToGrid w:val="0"/>
                <w:sz w:val="20"/>
                <w:lang w:val="da-DK"/>
              </w:rPr>
            </w:pPr>
            <w:r w:rsidRPr="001278B6">
              <w:rPr>
                <w:snapToGrid w:val="0"/>
                <w:sz w:val="20"/>
                <w:lang w:val="da-DK"/>
              </w:rPr>
              <w:t>Rate</w:t>
            </w:r>
          </w:p>
        </w:tc>
        <w:tc>
          <w:tcPr>
            <w:tcW w:w="1976" w:type="dxa"/>
          </w:tcPr>
          <w:p w14:paraId="63F3AA4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8,6 %</w:t>
            </w:r>
          </w:p>
        </w:tc>
        <w:tc>
          <w:tcPr>
            <w:tcW w:w="2091" w:type="dxa"/>
          </w:tcPr>
          <w:p w14:paraId="15D871B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22,2 %</w:t>
            </w:r>
          </w:p>
        </w:tc>
      </w:tr>
      <w:tr w:rsidR="003563EF" w:rsidRPr="005476B6" w14:paraId="386C6A72" w14:textId="77777777" w:rsidTr="001278B6">
        <w:tc>
          <w:tcPr>
            <w:tcW w:w="4390" w:type="dxa"/>
          </w:tcPr>
          <w:p w14:paraId="07336C09" w14:textId="77777777" w:rsidR="003563EF" w:rsidRPr="001278B6" w:rsidRDefault="003563EF" w:rsidP="001278B6">
            <w:pPr>
              <w:pStyle w:val="TableParagraph"/>
              <w:widowControl/>
              <w:adjustRightInd w:val="0"/>
              <w:snapToGrid w:val="0"/>
              <w:rPr>
                <w:snapToGrid w:val="0"/>
                <w:sz w:val="20"/>
                <w:lang w:val="da-DK"/>
              </w:rPr>
            </w:pPr>
          </w:p>
        </w:tc>
        <w:tc>
          <w:tcPr>
            <w:tcW w:w="4067" w:type="dxa"/>
            <w:gridSpan w:val="2"/>
          </w:tcPr>
          <w:p w14:paraId="5AC4513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 xml:space="preserve">værdi </w:t>
            </w:r>
            <w:r w:rsidR="00E06787" w:rsidRPr="00A92059">
              <w:rPr>
                <w:sz w:val="20"/>
                <w:szCs w:val="20"/>
              </w:rPr>
              <w:t>&lt; 0</w:t>
            </w:r>
            <w:r w:rsidR="00E06787">
              <w:rPr>
                <w:sz w:val="20"/>
                <w:szCs w:val="20"/>
              </w:rPr>
              <w:t>,</w:t>
            </w:r>
            <w:r w:rsidR="00E06787" w:rsidRPr="00A92059">
              <w:rPr>
                <w:sz w:val="20"/>
                <w:szCs w:val="20"/>
              </w:rPr>
              <w:t>0001</w:t>
            </w:r>
            <w:r w:rsidR="00E06787">
              <w:rPr>
                <w:sz w:val="20"/>
                <w:szCs w:val="20"/>
              </w:rPr>
              <w:t>)</w:t>
            </w:r>
          </w:p>
        </w:tc>
      </w:tr>
      <w:tr w:rsidR="003563EF" w:rsidRPr="007E69C7" w14:paraId="00379C55" w14:textId="77777777" w:rsidTr="00B61A22">
        <w:trPr>
          <w:trHeight w:val="214"/>
        </w:trPr>
        <w:tc>
          <w:tcPr>
            <w:tcW w:w="8457" w:type="dxa"/>
            <w:gridSpan w:val="3"/>
            <w:tcBorders>
              <w:left w:val="nil"/>
              <w:bottom w:val="nil"/>
              <w:right w:val="nil"/>
            </w:tcBorders>
          </w:tcPr>
          <w:p w14:paraId="323C6B7C" w14:textId="77777777" w:rsidR="003563EF" w:rsidRPr="001278B6" w:rsidRDefault="00473235" w:rsidP="001278B6">
            <w:pPr>
              <w:pStyle w:val="TableParagraph"/>
              <w:widowControl/>
              <w:adjustRightInd w:val="0"/>
              <w:snapToGrid w:val="0"/>
              <w:rPr>
                <w:snapToGrid w:val="0"/>
                <w:sz w:val="18"/>
                <w:szCs w:val="21"/>
                <w:lang w:val="da-DK"/>
              </w:rPr>
            </w:pPr>
            <w:r w:rsidRPr="001278B6">
              <w:rPr>
                <w:snapToGrid w:val="0"/>
                <w:sz w:val="18"/>
                <w:szCs w:val="21"/>
                <w:vertAlign w:val="superscript"/>
                <w:lang w:val="da-DK"/>
              </w:rPr>
              <w:t>a</w:t>
            </w:r>
            <w:r w:rsidRPr="001278B6">
              <w:rPr>
                <w:snapToGrid w:val="0"/>
                <w:sz w:val="18"/>
                <w:szCs w:val="21"/>
                <w:lang w:val="da-DK"/>
              </w:rPr>
              <w:t xml:space="preserve"> 10</w:t>
            </w:r>
            <w:r w:rsidR="002F1213">
              <w:rPr>
                <w:snapToGrid w:val="0"/>
                <w:sz w:val="18"/>
                <w:szCs w:val="21"/>
                <w:lang w:val="da-DK"/>
              </w:rPr>
              <w:t> mg</w:t>
            </w:r>
            <w:r w:rsidRPr="001278B6">
              <w:rPr>
                <w:snapToGrid w:val="0"/>
                <w:sz w:val="18"/>
                <w:szCs w:val="21"/>
                <w:lang w:val="da-DK"/>
              </w:rPr>
              <w:t>/kg hver 2. uge</w:t>
            </w:r>
          </w:p>
          <w:p w14:paraId="52F4463E"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18"/>
                <w:szCs w:val="21"/>
                <w:vertAlign w:val="superscript"/>
                <w:lang w:val="da-DK"/>
              </w:rPr>
              <w:t>b</w:t>
            </w:r>
            <w:r w:rsidRPr="001278B6">
              <w:rPr>
                <w:snapToGrid w:val="0"/>
                <w:sz w:val="18"/>
                <w:szCs w:val="21"/>
                <w:lang w:val="da-DK"/>
              </w:rPr>
              <w:t xml:space="preserve"> I forhold til kontrolarmen</w:t>
            </w:r>
          </w:p>
        </w:tc>
      </w:tr>
    </w:tbl>
    <w:p w14:paraId="70751A41" w14:textId="77777777" w:rsidR="003563EF" w:rsidRPr="001278B6" w:rsidRDefault="003563EF" w:rsidP="001278B6">
      <w:pPr>
        <w:pStyle w:val="a3"/>
        <w:widowControl/>
        <w:adjustRightInd w:val="0"/>
        <w:snapToGrid w:val="0"/>
        <w:rPr>
          <w:b/>
          <w:snapToGrid w:val="0"/>
          <w:lang w:val="da-DK"/>
        </w:rPr>
      </w:pPr>
    </w:p>
    <w:p w14:paraId="577D245A" w14:textId="7AB82474" w:rsidR="003563EF" w:rsidRPr="001278B6" w:rsidRDefault="00473235" w:rsidP="001278B6">
      <w:pPr>
        <w:pStyle w:val="a3"/>
        <w:widowControl/>
        <w:adjustRightInd w:val="0"/>
        <w:snapToGrid w:val="0"/>
        <w:rPr>
          <w:snapToGrid w:val="0"/>
          <w:lang w:val="da-DK"/>
        </w:rPr>
      </w:pPr>
      <w:r w:rsidRPr="001278B6">
        <w:rPr>
          <w:snapToGrid w:val="0"/>
          <w:lang w:val="da-DK"/>
        </w:rPr>
        <w:t xml:space="preserve">Der blev ikke observeret nogen signifikant forskel i varighed af </w:t>
      </w:r>
      <w:r w:rsidR="00052C55">
        <w:rPr>
          <w:snapToGrid w:val="0"/>
          <w:lang w:val="da-DK"/>
        </w:rPr>
        <w:t>OS</w:t>
      </w:r>
      <w:r w:rsidRPr="001278B6">
        <w:rPr>
          <w:snapToGrid w:val="0"/>
          <w:lang w:val="da-DK"/>
        </w:rPr>
        <w:t xml:space="preserve"> hos patienter, der modtog </w:t>
      </w:r>
      <w:r w:rsidR="00EC6AEB">
        <w:rPr>
          <w:snapToGrid w:val="0"/>
          <w:lang w:val="da-DK"/>
        </w:rPr>
        <w:t>bevacizumab</w:t>
      </w:r>
      <w:r w:rsidRPr="001278B6">
        <w:rPr>
          <w:snapToGrid w:val="0"/>
          <w:lang w:val="da-DK"/>
        </w:rPr>
        <w:t xml:space="preserve"> monoterapi i forhold til patienter, som blev behandlet med FOLFOX</w:t>
      </w:r>
      <w:r w:rsidR="004B3750">
        <w:rPr>
          <w:snapToGrid w:val="0"/>
          <w:lang w:val="da-DK"/>
        </w:rPr>
        <w:noBreakHyphen/>
      </w:r>
      <w:r w:rsidRPr="001278B6">
        <w:rPr>
          <w:snapToGrid w:val="0"/>
          <w:lang w:val="da-DK"/>
        </w:rPr>
        <w:t xml:space="preserve">4. </w:t>
      </w:r>
      <w:r w:rsidR="00052C55">
        <w:rPr>
          <w:snapToGrid w:val="0"/>
          <w:lang w:val="da-DK"/>
        </w:rPr>
        <w:t>PFS</w:t>
      </w:r>
      <w:r w:rsidRPr="001278B6">
        <w:rPr>
          <w:snapToGrid w:val="0"/>
          <w:lang w:val="da-DK"/>
        </w:rPr>
        <w:t xml:space="preserve"> og objektiv responsrate var inferior i </w:t>
      </w:r>
      <w:r w:rsidR="00267822">
        <w:rPr>
          <w:snapToGrid w:val="0"/>
          <w:lang w:val="da-DK"/>
        </w:rPr>
        <w:t>bevacizumab</w:t>
      </w:r>
      <w:r w:rsidRPr="001278B6">
        <w:rPr>
          <w:snapToGrid w:val="0"/>
          <w:lang w:val="da-DK"/>
        </w:rPr>
        <w:t xml:space="preserve"> monoterapi</w:t>
      </w:r>
      <w:r w:rsidR="004B3750">
        <w:rPr>
          <w:snapToGrid w:val="0"/>
          <w:lang w:val="da-DK"/>
        </w:rPr>
        <w:noBreakHyphen/>
      </w:r>
      <w:r w:rsidRPr="001278B6">
        <w:rPr>
          <w:snapToGrid w:val="0"/>
          <w:lang w:val="da-DK"/>
        </w:rPr>
        <w:t>armen i forhold til FOLFOX</w:t>
      </w:r>
      <w:r w:rsidR="004B3750">
        <w:rPr>
          <w:snapToGrid w:val="0"/>
          <w:lang w:val="da-DK"/>
        </w:rPr>
        <w:noBreakHyphen/>
      </w:r>
      <w:r w:rsidRPr="001278B6">
        <w:rPr>
          <w:snapToGrid w:val="0"/>
          <w:lang w:val="da-DK"/>
        </w:rPr>
        <w:t>4</w:t>
      </w:r>
      <w:r w:rsidR="004B3750">
        <w:rPr>
          <w:snapToGrid w:val="0"/>
          <w:lang w:val="da-DK"/>
        </w:rPr>
        <w:noBreakHyphen/>
      </w:r>
      <w:r w:rsidRPr="001278B6">
        <w:rPr>
          <w:snapToGrid w:val="0"/>
          <w:lang w:val="da-DK"/>
        </w:rPr>
        <w:t>armen.</w:t>
      </w:r>
    </w:p>
    <w:p w14:paraId="76E878C5" w14:textId="77777777" w:rsidR="003563EF" w:rsidRPr="001278B6" w:rsidRDefault="003563EF" w:rsidP="001278B6">
      <w:pPr>
        <w:pStyle w:val="a3"/>
        <w:widowControl/>
        <w:adjustRightInd w:val="0"/>
        <w:snapToGrid w:val="0"/>
        <w:rPr>
          <w:snapToGrid w:val="0"/>
          <w:lang w:val="da-DK"/>
        </w:rPr>
      </w:pPr>
    </w:p>
    <w:p w14:paraId="4F6E02DE"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ML18147</w:t>
      </w:r>
    </w:p>
    <w:p w14:paraId="4A70EEA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Studiet var et fase III randomiseret, kontrolleret, åbent studie, som undersøgte </w:t>
      </w:r>
      <w:r w:rsidR="00267822">
        <w:rPr>
          <w:snapToGrid w:val="0"/>
          <w:lang w:val="da-DK"/>
        </w:rPr>
        <w:t>bevacizumab</w:t>
      </w:r>
      <w:r w:rsidRPr="001278B6">
        <w:rPr>
          <w:snapToGrid w:val="0"/>
          <w:lang w:val="da-DK"/>
        </w:rPr>
        <w:t xml:space="preserve"> 5,0</w:t>
      </w:r>
      <w:r w:rsidR="002F1213">
        <w:rPr>
          <w:snapToGrid w:val="0"/>
          <w:lang w:val="da-DK"/>
        </w:rPr>
        <w:t> mg</w:t>
      </w:r>
      <w:r w:rsidRPr="001278B6">
        <w:rPr>
          <w:snapToGrid w:val="0"/>
          <w:lang w:val="da-DK"/>
        </w:rPr>
        <w:t>/kg hver</w:t>
      </w:r>
      <w:r w:rsidR="00804E31">
        <w:rPr>
          <w:snapToGrid w:val="0"/>
          <w:lang w:val="da-DK"/>
        </w:rPr>
        <w:t xml:space="preserve"> </w:t>
      </w:r>
      <w:r w:rsidRPr="001278B6">
        <w:rPr>
          <w:snapToGrid w:val="0"/>
          <w:lang w:val="da-DK"/>
        </w:rPr>
        <w:t>2.</w:t>
      </w:r>
      <w:r w:rsidR="00804E31">
        <w:rPr>
          <w:snapToGrid w:val="0"/>
          <w:lang w:val="da-DK"/>
        </w:rPr>
        <w:t> </w:t>
      </w:r>
      <w:r w:rsidRPr="001278B6">
        <w:rPr>
          <w:snapToGrid w:val="0"/>
          <w:lang w:val="da-DK"/>
        </w:rPr>
        <w:t>uge eller 7,5</w:t>
      </w:r>
      <w:r w:rsidR="002F1213">
        <w:rPr>
          <w:snapToGrid w:val="0"/>
          <w:lang w:val="da-DK"/>
        </w:rPr>
        <w:t> mg</w:t>
      </w:r>
      <w:r w:rsidRPr="001278B6">
        <w:rPr>
          <w:snapToGrid w:val="0"/>
          <w:lang w:val="da-DK"/>
        </w:rPr>
        <w:t>/kg hver 3. uge i kombination med fluoropyrimidin</w:t>
      </w:r>
      <w:r w:rsidR="004B3750">
        <w:rPr>
          <w:snapToGrid w:val="0"/>
          <w:lang w:val="da-DK"/>
        </w:rPr>
        <w:noBreakHyphen/>
      </w:r>
      <w:r w:rsidRPr="001278B6">
        <w:rPr>
          <w:snapToGrid w:val="0"/>
          <w:lang w:val="da-DK"/>
        </w:rPr>
        <w:t xml:space="preserve">baseret kemoterapi </w:t>
      </w:r>
      <w:r w:rsidRPr="001278B6">
        <w:rPr>
          <w:i/>
          <w:snapToGrid w:val="0"/>
          <w:lang w:val="da-DK"/>
        </w:rPr>
        <w:t xml:space="preserve">versus </w:t>
      </w:r>
      <w:r w:rsidRPr="001278B6">
        <w:rPr>
          <w:snapToGrid w:val="0"/>
          <w:lang w:val="da-DK"/>
        </w:rPr>
        <w:t>fluoropyrimidin</w:t>
      </w:r>
      <w:r w:rsidR="004B3750">
        <w:rPr>
          <w:snapToGrid w:val="0"/>
          <w:lang w:val="da-DK"/>
        </w:rPr>
        <w:noBreakHyphen/>
      </w:r>
      <w:r w:rsidRPr="001278B6">
        <w:rPr>
          <w:snapToGrid w:val="0"/>
          <w:lang w:val="da-DK"/>
        </w:rPr>
        <w:t>baseret kemoterapi alene, til patienter med metastatisk kolorektalkræft, som progredierede på et1.linje bevacizumab</w:t>
      </w:r>
      <w:r w:rsidR="004B3750">
        <w:rPr>
          <w:snapToGrid w:val="0"/>
          <w:lang w:val="da-DK"/>
        </w:rPr>
        <w:noBreakHyphen/>
      </w:r>
      <w:r w:rsidRPr="001278B6">
        <w:rPr>
          <w:snapToGrid w:val="0"/>
          <w:lang w:val="da-DK"/>
        </w:rPr>
        <w:t>indeholdende regime.</w:t>
      </w:r>
    </w:p>
    <w:p w14:paraId="6980DECD" w14:textId="055B80FD" w:rsidR="003563EF" w:rsidRPr="001278B6" w:rsidRDefault="00473235" w:rsidP="001278B6">
      <w:pPr>
        <w:pStyle w:val="a3"/>
        <w:widowControl/>
        <w:adjustRightInd w:val="0"/>
        <w:snapToGrid w:val="0"/>
        <w:rPr>
          <w:snapToGrid w:val="0"/>
          <w:lang w:val="da-DK"/>
        </w:rPr>
      </w:pPr>
      <w:r w:rsidRPr="001278B6">
        <w:rPr>
          <w:snapToGrid w:val="0"/>
          <w:lang w:val="da-DK"/>
        </w:rPr>
        <w:t>Patienter med histologisk bekræftet metastatisk kolorektalkræft og sygdomsprogression blev randomiseret 1:1 indenfor 3 måneder efter seponering af 1.linje bevacizumab</w:t>
      </w:r>
      <w:r w:rsidR="004B3750">
        <w:rPr>
          <w:snapToGrid w:val="0"/>
          <w:lang w:val="da-DK"/>
        </w:rPr>
        <w:noBreakHyphen/>
      </w:r>
      <w:r w:rsidRPr="001278B6">
        <w:rPr>
          <w:snapToGrid w:val="0"/>
          <w:lang w:val="da-DK"/>
        </w:rPr>
        <w:t>behandling og fik fluoropyrimidin/oxaliplatin</w:t>
      </w:r>
      <w:r w:rsidR="004B3750">
        <w:rPr>
          <w:snapToGrid w:val="0"/>
          <w:lang w:val="da-DK"/>
        </w:rPr>
        <w:noBreakHyphen/>
      </w:r>
      <w:r w:rsidRPr="001278B6">
        <w:rPr>
          <w:snapToGrid w:val="0"/>
          <w:lang w:val="da-DK"/>
        </w:rPr>
        <w:t xml:space="preserve"> eller fluoropyrimidin/irinotecan</w:t>
      </w:r>
      <w:r w:rsidR="004B3750">
        <w:rPr>
          <w:snapToGrid w:val="0"/>
          <w:lang w:val="da-DK"/>
        </w:rPr>
        <w:noBreakHyphen/>
      </w:r>
      <w:r w:rsidRPr="001278B6">
        <w:rPr>
          <w:snapToGrid w:val="0"/>
          <w:lang w:val="da-DK"/>
        </w:rPr>
        <w:t>baseret kemoterapi (kemoterapi ændret afhængigt af 1.linje</w:t>
      </w:r>
      <w:r w:rsidR="004B3750">
        <w:rPr>
          <w:snapToGrid w:val="0"/>
          <w:lang w:val="da-DK"/>
        </w:rPr>
        <w:noBreakHyphen/>
      </w:r>
      <w:r w:rsidRPr="001278B6">
        <w:rPr>
          <w:snapToGrid w:val="0"/>
          <w:lang w:val="da-DK"/>
        </w:rPr>
        <w:t xml:space="preserve">kemoterapi) med eller uden bevacizumab. Behandlingen blev givet indtil </w:t>
      </w:r>
      <w:r w:rsidRPr="001278B6">
        <w:rPr>
          <w:snapToGrid w:val="0"/>
          <w:lang w:val="da-DK"/>
        </w:rPr>
        <w:lastRenderedPageBreak/>
        <w:t xml:space="preserve">sygdomsprogression eller indtil uacceptabel toksicitet. Det primære effektmål var </w:t>
      </w:r>
      <w:r w:rsidR="00052C55">
        <w:rPr>
          <w:snapToGrid w:val="0"/>
          <w:lang w:val="da-DK"/>
        </w:rPr>
        <w:t>OS</w:t>
      </w:r>
      <w:r w:rsidRPr="001278B6">
        <w:rPr>
          <w:snapToGrid w:val="0"/>
          <w:lang w:val="da-DK"/>
        </w:rPr>
        <w:t>, defineret som tiden fra randomisering indtil død, uanset årsag</w:t>
      </w:r>
      <w:r w:rsidR="005E612F">
        <w:rPr>
          <w:snapToGrid w:val="0"/>
          <w:lang w:val="da-DK"/>
        </w:rPr>
        <w:t>.</w:t>
      </w:r>
    </w:p>
    <w:p w14:paraId="0FF03FA8" w14:textId="77777777" w:rsidR="003563EF" w:rsidRPr="001278B6" w:rsidRDefault="003563EF" w:rsidP="001278B6">
      <w:pPr>
        <w:pStyle w:val="a3"/>
        <w:widowControl/>
        <w:adjustRightInd w:val="0"/>
        <w:snapToGrid w:val="0"/>
        <w:rPr>
          <w:snapToGrid w:val="0"/>
          <w:lang w:val="da-DK"/>
        </w:rPr>
      </w:pPr>
    </w:p>
    <w:p w14:paraId="0EC6DA10"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I alt blev 820 patienter randomiseret. Tilføjelse af bevacizumab til fluoropyrimidin</w:t>
      </w:r>
      <w:r w:rsidR="004B3750">
        <w:rPr>
          <w:snapToGrid w:val="0"/>
          <w:lang w:val="da-DK"/>
        </w:rPr>
        <w:noBreakHyphen/>
      </w:r>
      <w:r w:rsidRPr="001278B6">
        <w:rPr>
          <w:snapToGrid w:val="0"/>
          <w:lang w:val="da-DK"/>
        </w:rPr>
        <w:t>baseret kemoterapi resulterede i statistisk signifikant forlænget overlevelse hos patienter med metastatisk kolorektalkræft, som progredierede på 1.linje bevacizumab</w:t>
      </w:r>
      <w:r w:rsidR="004B3750">
        <w:rPr>
          <w:snapToGrid w:val="0"/>
          <w:lang w:val="da-DK"/>
        </w:rPr>
        <w:noBreakHyphen/>
      </w:r>
      <w:r w:rsidRPr="001278B6">
        <w:rPr>
          <w:snapToGrid w:val="0"/>
          <w:lang w:val="da-DK"/>
        </w:rPr>
        <w:t>indeholdende regime (ITT = 819) (se tabel 9).</w:t>
      </w:r>
    </w:p>
    <w:p w14:paraId="7DA85CF8" w14:textId="77777777" w:rsidR="0079124A" w:rsidRPr="001278B6" w:rsidRDefault="0079124A" w:rsidP="001278B6">
      <w:pPr>
        <w:widowControl/>
        <w:adjustRightInd w:val="0"/>
        <w:snapToGrid w:val="0"/>
        <w:jc w:val="both"/>
        <w:rPr>
          <w:snapToGrid w:val="0"/>
          <w:lang w:val="da-DK"/>
        </w:rPr>
      </w:pPr>
    </w:p>
    <w:p w14:paraId="3F038909" w14:textId="77777777" w:rsidR="003563EF" w:rsidRPr="00765991" w:rsidRDefault="00473235" w:rsidP="00765991">
      <w:pPr>
        <w:ind w:left="1134" w:hanging="1134"/>
        <w:rPr>
          <w:b/>
          <w:bCs/>
          <w:snapToGrid w:val="0"/>
          <w:lang w:val="da-DK"/>
        </w:rPr>
      </w:pPr>
      <w:r w:rsidRPr="00765991">
        <w:rPr>
          <w:b/>
          <w:bCs/>
          <w:snapToGrid w:val="0"/>
          <w:lang w:val="da-DK"/>
        </w:rPr>
        <w:t>Tabel 9.</w:t>
      </w:r>
      <w:r w:rsidRPr="00765991">
        <w:rPr>
          <w:b/>
          <w:bCs/>
          <w:snapToGrid w:val="0"/>
          <w:lang w:val="da-DK"/>
        </w:rPr>
        <w:tab/>
        <w:t>Effektresultater for studie ML18147 (ITT population)</w:t>
      </w:r>
    </w:p>
    <w:p w14:paraId="05ACEA53"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2904"/>
        <w:gridCol w:w="2876"/>
      </w:tblGrid>
      <w:tr w:rsidR="003563EF" w:rsidRPr="005476B6" w14:paraId="049E4ED8" w14:textId="77777777" w:rsidTr="00F466A3">
        <w:trPr>
          <w:tblHeader/>
        </w:trPr>
        <w:tc>
          <w:tcPr>
            <w:tcW w:w="3369" w:type="dxa"/>
          </w:tcPr>
          <w:p w14:paraId="55A633A4" w14:textId="77777777" w:rsidR="003563EF" w:rsidRPr="001278B6" w:rsidRDefault="003563EF" w:rsidP="001278B6">
            <w:pPr>
              <w:pStyle w:val="TableParagraph"/>
              <w:keepNext/>
              <w:keepLines/>
              <w:widowControl/>
              <w:adjustRightInd w:val="0"/>
              <w:snapToGrid w:val="0"/>
              <w:rPr>
                <w:snapToGrid w:val="0"/>
                <w:sz w:val="20"/>
                <w:lang w:val="da-DK"/>
              </w:rPr>
            </w:pPr>
          </w:p>
        </w:tc>
        <w:tc>
          <w:tcPr>
            <w:tcW w:w="5923" w:type="dxa"/>
            <w:gridSpan w:val="2"/>
          </w:tcPr>
          <w:p w14:paraId="6417EAF9"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ML18147</w:t>
            </w:r>
          </w:p>
        </w:tc>
      </w:tr>
      <w:tr w:rsidR="003563EF" w:rsidRPr="007E69C7" w14:paraId="486CE1DA" w14:textId="77777777" w:rsidTr="00F466A3">
        <w:trPr>
          <w:tblHeader/>
        </w:trPr>
        <w:tc>
          <w:tcPr>
            <w:tcW w:w="3369" w:type="dxa"/>
          </w:tcPr>
          <w:p w14:paraId="484355A9" w14:textId="77777777" w:rsidR="003563EF" w:rsidRPr="001278B6" w:rsidRDefault="003563EF" w:rsidP="001278B6">
            <w:pPr>
              <w:pStyle w:val="TableParagraph"/>
              <w:keepNext/>
              <w:keepLines/>
              <w:widowControl/>
              <w:adjustRightInd w:val="0"/>
              <w:snapToGrid w:val="0"/>
              <w:rPr>
                <w:snapToGrid w:val="0"/>
                <w:sz w:val="20"/>
                <w:lang w:val="da-DK"/>
              </w:rPr>
            </w:pPr>
          </w:p>
        </w:tc>
        <w:tc>
          <w:tcPr>
            <w:tcW w:w="2976" w:type="dxa"/>
          </w:tcPr>
          <w:p w14:paraId="5A3A2024" w14:textId="34211B25" w:rsidR="003563EF" w:rsidRPr="001278B6" w:rsidRDefault="002A39BD" w:rsidP="001278B6">
            <w:pPr>
              <w:pStyle w:val="TableParagraph"/>
              <w:keepNext/>
              <w:keepLines/>
              <w:widowControl/>
              <w:adjustRightInd w:val="0"/>
              <w:snapToGrid w:val="0"/>
              <w:jc w:val="center"/>
              <w:rPr>
                <w:snapToGrid w:val="0"/>
                <w:sz w:val="20"/>
                <w:lang w:val="da-DK"/>
              </w:rPr>
            </w:pPr>
            <w:r>
              <w:rPr>
                <w:snapToGrid w:val="0"/>
                <w:sz w:val="20"/>
                <w:lang w:val="da-DK"/>
              </w:rPr>
              <w:t>F</w:t>
            </w:r>
            <w:r w:rsidR="00473235" w:rsidRPr="001278B6">
              <w:rPr>
                <w:snapToGrid w:val="0"/>
                <w:sz w:val="20"/>
                <w:lang w:val="da-DK"/>
              </w:rPr>
              <w:t>luoropyrimidin/</w:t>
            </w:r>
            <w:r>
              <w:rPr>
                <w:snapToGrid w:val="0"/>
                <w:sz w:val="20"/>
                <w:lang w:val="da-DK"/>
              </w:rPr>
              <w:t>I</w:t>
            </w:r>
            <w:r w:rsidR="00473235" w:rsidRPr="001278B6">
              <w:rPr>
                <w:snapToGrid w:val="0"/>
                <w:sz w:val="20"/>
                <w:lang w:val="da-DK"/>
              </w:rPr>
              <w:t>rinotecan</w:t>
            </w:r>
            <w:r w:rsidR="004B3750">
              <w:rPr>
                <w:snapToGrid w:val="0"/>
                <w:sz w:val="20"/>
                <w:lang w:val="da-DK"/>
              </w:rPr>
              <w:noBreakHyphen/>
            </w:r>
            <w:r w:rsidR="00473235" w:rsidRPr="001278B6">
              <w:rPr>
                <w:snapToGrid w:val="0"/>
                <w:sz w:val="20"/>
                <w:lang w:val="da-DK"/>
              </w:rPr>
              <w:t xml:space="preserve"> eller </w:t>
            </w:r>
            <w:r>
              <w:rPr>
                <w:snapToGrid w:val="0"/>
                <w:sz w:val="20"/>
                <w:lang w:val="da-DK"/>
              </w:rPr>
              <w:t>F</w:t>
            </w:r>
            <w:r w:rsidR="00473235" w:rsidRPr="001278B6">
              <w:rPr>
                <w:snapToGrid w:val="0"/>
                <w:sz w:val="20"/>
                <w:lang w:val="da-DK"/>
              </w:rPr>
              <w:t>luoropyrimidin/</w:t>
            </w:r>
            <w:r>
              <w:rPr>
                <w:snapToGrid w:val="0"/>
                <w:sz w:val="20"/>
                <w:lang w:val="da-DK"/>
              </w:rPr>
              <w:t>O</w:t>
            </w:r>
            <w:r w:rsidR="00473235" w:rsidRPr="001278B6">
              <w:rPr>
                <w:snapToGrid w:val="0"/>
                <w:sz w:val="20"/>
                <w:lang w:val="da-DK"/>
              </w:rPr>
              <w:t>xaliplatin</w:t>
            </w:r>
            <w:r w:rsidR="004B3750">
              <w:rPr>
                <w:snapToGrid w:val="0"/>
                <w:sz w:val="20"/>
                <w:lang w:val="da-DK"/>
              </w:rPr>
              <w:noBreakHyphen/>
            </w:r>
            <w:r w:rsidR="00473235" w:rsidRPr="001278B6">
              <w:rPr>
                <w:snapToGrid w:val="0"/>
                <w:sz w:val="20"/>
                <w:lang w:val="da-DK"/>
              </w:rPr>
              <w:t xml:space="preserve"> baseret kemoterapi</w:t>
            </w:r>
          </w:p>
        </w:tc>
        <w:tc>
          <w:tcPr>
            <w:tcW w:w="2947" w:type="dxa"/>
          </w:tcPr>
          <w:p w14:paraId="02EFE690" w14:textId="139995FC" w:rsidR="003563EF" w:rsidRPr="001278B6" w:rsidRDefault="002A39BD" w:rsidP="001278B6">
            <w:pPr>
              <w:pStyle w:val="TableParagraph"/>
              <w:keepNext/>
              <w:keepLines/>
              <w:widowControl/>
              <w:adjustRightInd w:val="0"/>
              <w:snapToGrid w:val="0"/>
              <w:jc w:val="center"/>
              <w:rPr>
                <w:snapToGrid w:val="0"/>
                <w:sz w:val="20"/>
                <w:lang w:val="da-DK"/>
              </w:rPr>
            </w:pPr>
            <w:r>
              <w:rPr>
                <w:snapToGrid w:val="0"/>
                <w:sz w:val="20"/>
                <w:lang w:val="da-DK"/>
              </w:rPr>
              <w:t>F</w:t>
            </w:r>
            <w:r w:rsidR="00473235" w:rsidRPr="001278B6">
              <w:rPr>
                <w:snapToGrid w:val="0"/>
                <w:sz w:val="20"/>
                <w:lang w:val="da-DK"/>
              </w:rPr>
              <w:t>luoropyrimidin/</w:t>
            </w:r>
            <w:r>
              <w:rPr>
                <w:snapToGrid w:val="0"/>
                <w:sz w:val="20"/>
                <w:lang w:val="da-DK"/>
              </w:rPr>
              <w:t>I</w:t>
            </w:r>
            <w:r w:rsidR="00473235" w:rsidRPr="001278B6">
              <w:rPr>
                <w:snapToGrid w:val="0"/>
                <w:sz w:val="20"/>
                <w:lang w:val="da-DK"/>
              </w:rPr>
              <w:t>rinotecan</w:t>
            </w:r>
            <w:r w:rsidR="004B3750">
              <w:rPr>
                <w:snapToGrid w:val="0"/>
                <w:sz w:val="20"/>
                <w:lang w:val="da-DK"/>
              </w:rPr>
              <w:noBreakHyphen/>
            </w:r>
            <w:r w:rsidR="00473235" w:rsidRPr="001278B6">
              <w:rPr>
                <w:snapToGrid w:val="0"/>
                <w:sz w:val="20"/>
                <w:lang w:val="da-DK"/>
              </w:rPr>
              <w:t xml:space="preserve"> eller </w:t>
            </w:r>
            <w:r>
              <w:rPr>
                <w:snapToGrid w:val="0"/>
                <w:sz w:val="20"/>
                <w:lang w:val="da-DK"/>
              </w:rPr>
              <w:t>F</w:t>
            </w:r>
            <w:r w:rsidR="00473235" w:rsidRPr="001278B6">
              <w:rPr>
                <w:snapToGrid w:val="0"/>
                <w:sz w:val="20"/>
                <w:lang w:val="da-DK"/>
              </w:rPr>
              <w:t>luoropyrimidin/</w:t>
            </w:r>
            <w:r>
              <w:rPr>
                <w:snapToGrid w:val="0"/>
                <w:sz w:val="20"/>
                <w:lang w:val="da-DK"/>
              </w:rPr>
              <w:t>O</w:t>
            </w:r>
            <w:r w:rsidR="00473235" w:rsidRPr="001278B6">
              <w:rPr>
                <w:snapToGrid w:val="0"/>
                <w:sz w:val="20"/>
                <w:lang w:val="da-DK"/>
              </w:rPr>
              <w:t>xaliplatin</w:t>
            </w:r>
            <w:r w:rsidR="004B3750">
              <w:rPr>
                <w:snapToGrid w:val="0"/>
                <w:sz w:val="20"/>
                <w:lang w:val="da-DK"/>
              </w:rPr>
              <w:noBreakHyphen/>
            </w:r>
            <w:r w:rsidR="00473235" w:rsidRPr="001278B6">
              <w:rPr>
                <w:snapToGrid w:val="0"/>
                <w:sz w:val="20"/>
                <w:lang w:val="da-DK"/>
              </w:rPr>
              <w:t xml:space="preserve"> baseret kemoterapi</w:t>
            </w:r>
            <w:r w:rsidR="000F6A5C">
              <w:rPr>
                <w:snapToGrid w:val="0"/>
                <w:sz w:val="20"/>
                <w:lang w:val="da-DK"/>
              </w:rPr>
              <w:br/>
            </w:r>
            <w:r w:rsidR="00473235" w:rsidRPr="001278B6">
              <w:rPr>
                <w:snapToGrid w:val="0"/>
                <w:sz w:val="20"/>
                <w:lang w:val="da-DK"/>
              </w:rPr>
              <w:t xml:space="preserve">+ </w:t>
            </w:r>
            <w:r w:rsidR="00267822">
              <w:rPr>
                <w:snapToGrid w:val="0"/>
                <w:sz w:val="20"/>
                <w:lang w:val="da-DK"/>
              </w:rPr>
              <w:t>Bevacizumab</w:t>
            </w:r>
            <w:r w:rsidR="00473235" w:rsidRPr="001278B6">
              <w:rPr>
                <w:snapToGrid w:val="0"/>
                <w:sz w:val="20"/>
                <w:vertAlign w:val="superscript"/>
                <w:lang w:val="da-DK"/>
              </w:rPr>
              <w:t>a</w:t>
            </w:r>
          </w:p>
        </w:tc>
      </w:tr>
      <w:tr w:rsidR="003563EF" w:rsidRPr="005476B6" w14:paraId="030B8D75" w14:textId="77777777" w:rsidTr="00F466A3">
        <w:tc>
          <w:tcPr>
            <w:tcW w:w="3369" w:type="dxa"/>
          </w:tcPr>
          <w:p w14:paraId="1421433D"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2976" w:type="dxa"/>
          </w:tcPr>
          <w:p w14:paraId="5B1D39E0"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410</w:t>
            </w:r>
          </w:p>
        </w:tc>
        <w:tc>
          <w:tcPr>
            <w:tcW w:w="2947" w:type="dxa"/>
          </w:tcPr>
          <w:p w14:paraId="0B42217E"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409</w:t>
            </w:r>
          </w:p>
        </w:tc>
      </w:tr>
      <w:tr w:rsidR="00CE3CEB" w:rsidRPr="005476B6" w14:paraId="275520E1" w14:textId="77777777" w:rsidTr="00F466A3">
        <w:tc>
          <w:tcPr>
            <w:tcW w:w="3369" w:type="dxa"/>
          </w:tcPr>
          <w:p w14:paraId="6D3E7B32" w14:textId="77777777" w:rsidR="00CE3CEB" w:rsidRPr="001278B6" w:rsidRDefault="00CE3CEB" w:rsidP="001278B6">
            <w:pPr>
              <w:pStyle w:val="TableParagraph"/>
              <w:keepNext/>
              <w:keepLines/>
              <w:widowControl/>
              <w:adjustRightInd w:val="0"/>
              <w:snapToGrid w:val="0"/>
              <w:rPr>
                <w:snapToGrid w:val="0"/>
                <w:sz w:val="20"/>
                <w:u w:val="single"/>
                <w:lang w:val="da-DK"/>
              </w:rPr>
            </w:pPr>
            <w:r w:rsidRPr="001278B6">
              <w:rPr>
                <w:b/>
                <w:snapToGrid w:val="0"/>
                <w:sz w:val="20"/>
                <w:u w:val="single"/>
                <w:lang w:val="da-DK"/>
              </w:rPr>
              <w:t>Samlet overlevelse</w:t>
            </w:r>
          </w:p>
        </w:tc>
        <w:tc>
          <w:tcPr>
            <w:tcW w:w="5923" w:type="dxa"/>
            <w:gridSpan w:val="2"/>
          </w:tcPr>
          <w:p w14:paraId="11092820" w14:textId="77777777" w:rsidR="00CE3CEB" w:rsidRPr="001278B6" w:rsidRDefault="00CE3CEB" w:rsidP="001278B6">
            <w:pPr>
              <w:pStyle w:val="TableParagraph"/>
              <w:keepNext/>
              <w:keepLines/>
              <w:widowControl/>
              <w:adjustRightInd w:val="0"/>
              <w:snapToGrid w:val="0"/>
              <w:jc w:val="center"/>
              <w:rPr>
                <w:snapToGrid w:val="0"/>
                <w:sz w:val="20"/>
                <w:lang w:val="da-DK"/>
              </w:rPr>
            </w:pPr>
          </w:p>
        </w:tc>
      </w:tr>
      <w:tr w:rsidR="00CE3CEB" w:rsidRPr="005476B6" w14:paraId="3AFBF7DC" w14:textId="77777777" w:rsidTr="00F466A3">
        <w:tc>
          <w:tcPr>
            <w:tcW w:w="3369" w:type="dxa"/>
          </w:tcPr>
          <w:p w14:paraId="07DB15A2" w14:textId="77777777" w:rsidR="00CE3CEB" w:rsidRPr="001278B6" w:rsidRDefault="00CE3CEB" w:rsidP="001278B6">
            <w:pPr>
              <w:pStyle w:val="TableParagraph"/>
              <w:widowControl/>
              <w:adjustRightInd w:val="0"/>
              <w:snapToGrid w:val="0"/>
              <w:rPr>
                <w:i/>
                <w:snapToGrid w:val="0"/>
                <w:sz w:val="20"/>
                <w:lang w:val="da-DK"/>
              </w:rPr>
            </w:pPr>
            <w:r w:rsidRPr="001278B6">
              <w:rPr>
                <w:snapToGrid w:val="0"/>
                <w:sz w:val="20"/>
                <w:lang w:val="da-DK"/>
              </w:rPr>
              <w:t>Median (måneder)</w:t>
            </w:r>
          </w:p>
        </w:tc>
        <w:tc>
          <w:tcPr>
            <w:tcW w:w="2976" w:type="dxa"/>
          </w:tcPr>
          <w:p w14:paraId="7AD99CAC" w14:textId="77777777" w:rsidR="00CE3CEB" w:rsidRPr="001278B6" w:rsidRDefault="00CE3CEB" w:rsidP="001278B6">
            <w:pPr>
              <w:pStyle w:val="TableParagraph"/>
              <w:widowControl/>
              <w:adjustRightInd w:val="0"/>
              <w:snapToGrid w:val="0"/>
              <w:jc w:val="center"/>
              <w:rPr>
                <w:snapToGrid w:val="0"/>
                <w:sz w:val="20"/>
                <w:lang w:val="da-DK"/>
              </w:rPr>
            </w:pPr>
            <w:r w:rsidRPr="001278B6">
              <w:rPr>
                <w:snapToGrid w:val="0"/>
                <w:sz w:val="20"/>
                <w:lang w:val="da-DK"/>
              </w:rPr>
              <w:t>9,8</w:t>
            </w:r>
          </w:p>
        </w:tc>
        <w:tc>
          <w:tcPr>
            <w:tcW w:w="2947" w:type="dxa"/>
          </w:tcPr>
          <w:p w14:paraId="095C74DD" w14:textId="77777777" w:rsidR="00CE3CEB" w:rsidRPr="001278B6" w:rsidRDefault="00CE3CEB" w:rsidP="001278B6">
            <w:pPr>
              <w:pStyle w:val="TableParagraph"/>
              <w:widowControl/>
              <w:adjustRightInd w:val="0"/>
              <w:snapToGrid w:val="0"/>
              <w:jc w:val="center"/>
              <w:rPr>
                <w:snapToGrid w:val="0"/>
                <w:sz w:val="20"/>
                <w:lang w:val="da-DK"/>
              </w:rPr>
            </w:pPr>
            <w:r w:rsidRPr="001278B6">
              <w:rPr>
                <w:snapToGrid w:val="0"/>
                <w:sz w:val="20"/>
                <w:lang w:val="da-DK"/>
              </w:rPr>
              <w:t>11,2</w:t>
            </w:r>
          </w:p>
        </w:tc>
      </w:tr>
      <w:tr w:rsidR="003563EF" w:rsidRPr="005476B6" w14:paraId="4363D61A" w14:textId="77777777" w:rsidTr="00F466A3">
        <w:tc>
          <w:tcPr>
            <w:tcW w:w="3369" w:type="dxa"/>
          </w:tcPr>
          <w:p w14:paraId="6F6087E3"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1278B6">
              <w:rPr>
                <w:snapToGrid w:val="0"/>
                <w:sz w:val="20"/>
                <w:lang w:val="da-DK"/>
              </w:rPr>
              <w:t>ratio (95 % konfidensinterval)</w:t>
            </w:r>
          </w:p>
        </w:tc>
        <w:tc>
          <w:tcPr>
            <w:tcW w:w="5923" w:type="dxa"/>
            <w:gridSpan w:val="2"/>
          </w:tcPr>
          <w:p w14:paraId="654A0EE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0,81 (0,69</w:t>
            </w:r>
            <w:r w:rsidR="004B3750">
              <w:rPr>
                <w:snapToGrid w:val="0"/>
                <w:sz w:val="20"/>
                <w:lang w:val="da-DK"/>
              </w:rPr>
              <w:noBreakHyphen/>
            </w:r>
            <w:r w:rsidRPr="001278B6">
              <w:rPr>
                <w:snapToGrid w:val="0"/>
                <w:sz w:val="20"/>
                <w:lang w:val="da-DK"/>
              </w:rPr>
              <w:t>0,94)</w:t>
            </w:r>
          </w:p>
          <w:p w14:paraId="652B262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0,0062)</w:t>
            </w:r>
          </w:p>
        </w:tc>
      </w:tr>
      <w:tr w:rsidR="00580D0B" w:rsidRPr="005476B6" w14:paraId="4A4A449E" w14:textId="77777777" w:rsidTr="00F466A3">
        <w:tc>
          <w:tcPr>
            <w:tcW w:w="3369" w:type="dxa"/>
          </w:tcPr>
          <w:p w14:paraId="681969CD" w14:textId="77777777" w:rsidR="00580D0B" w:rsidRPr="001278B6" w:rsidRDefault="00580D0B" w:rsidP="001278B6">
            <w:pPr>
              <w:pStyle w:val="TableParagraph"/>
              <w:widowControl/>
              <w:adjustRightInd w:val="0"/>
              <w:snapToGrid w:val="0"/>
              <w:rPr>
                <w:i/>
                <w:snapToGrid w:val="0"/>
                <w:sz w:val="20"/>
                <w:u w:val="single"/>
                <w:lang w:val="da-DK"/>
              </w:rPr>
            </w:pPr>
            <w:r w:rsidRPr="001278B6">
              <w:rPr>
                <w:b/>
                <w:snapToGrid w:val="0"/>
                <w:sz w:val="20"/>
                <w:u w:val="single"/>
                <w:lang w:val="da-DK"/>
              </w:rPr>
              <w:t>Progressionfri overlevelse</w:t>
            </w:r>
          </w:p>
        </w:tc>
        <w:tc>
          <w:tcPr>
            <w:tcW w:w="5923" w:type="dxa"/>
            <w:gridSpan w:val="2"/>
          </w:tcPr>
          <w:p w14:paraId="31FCCCD1" w14:textId="77777777" w:rsidR="00580D0B" w:rsidRPr="001278B6" w:rsidRDefault="00580D0B" w:rsidP="001278B6">
            <w:pPr>
              <w:pStyle w:val="TableParagraph"/>
              <w:widowControl/>
              <w:adjustRightInd w:val="0"/>
              <w:snapToGrid w:val="0"/>
              <w:jc w:val="center"/>
              <w:rPr>
                <w:snapToGrid w:val="0"/>
                <w:sz w:val="20"/>
                <w:lang w:val="da-DK"/>
              </w:rPr>
            </w:pPr>
          </w:p>
        </w:tc>
      </w:tr>
      <w:tr w:rsidR="00580D0B" w:rsidRPr="005476B6" w14:paraId="4DF56C37" w14:textId="77777777" w:rsidTr="00F466A3">
        <w:tc>
          <w:tcPr>
            <w:tcW w:w="3369" w:type="dxa"/>
          </w:tcPr>
          <w:p w14:paraId="1E37414F" w14:textId="77777777" w:rsidR="00580D0B" w:rsidRPr="001278B6" w:rsidRDefault="00580D0B" w:rsidP="001278B6">
            <w:pPr>
              <w:pStyle w:val="TableParagraph"/>
              <w:widowControl/>
              <w:adjustRightInd w:val="0"/>
              <w:snapToGrid w:val="0"/>
              <w:rPr>
                <w:i/>
                <w:snapToGrid w:val="0"/>
                <w:sz w:val="20"/>
                <w:lang w:val="da-DK"/>
              </w:rPr>
            </w:pPr>
            <w:r w:rsidRPr="001278B6">
              <w:rPr>
                <w:snapToGrid w:val="0"/>
                <w:sz w:val="20"/>
                <w:lang w:val="da-DK"/>
              </w:rPr>
              <w:t>Median (måneder)</w:t>
            </w:r>
          </w:p>
        </w:tc>
        <w:tc>
          <w:tcPr>
            <w:tcW w:w="2976" w:type="dxa"/>
          </w:tcPr>
          <w:p w14:paraId="48D13A5B" w14:textId="77777777" w:rsidR="00580D0B" w:rsidRPr="001278B6" w:rsidRDefault="00580D0B" w:rsidP="001278B6">
            <w:pPr>
              <w:pStyle w:val="TableParagraph"/>
              <w:widowControl/>
              <w:adjustRightInd w:val="0"/>
              <w:snapToGrid w:val="0"/>
              <w:jc w:val="center"/>
              <w:rPr>
                <w:snapToGrid w:val="0"/>
                <w:sz w:val="20"/>
                <w:lang w:val="da-DK"/>
              </w:rPr>
            </w:pPr>
            <w:r w:rsidRPr="001278B6">
              <w:rPr>
                <w:snapToGrid w:val="0"/>
                <w:sz w:val="20"/>
                <w:lang w:val="da-DK"/>
              </w:rPr>
              <w:t>4,1</w:t>
            </w:r>
          </w:p>
        </w:tc>
        <w:tc>
          <w:tcPr>
            <w:tcW w:w="2947" w:type="dxa"/>
          </w:tcPr>
          <w:p w14:paraId="1DB899EA" w14:textId="77777777" w:rsidR="00580D0B" w:rsidRPr="001278B6" w:rsidRDefault="00580D0B" w:rsidP="001278B6">
            <w:pPr>
              <w:pStyle w:val="TableParagraph"/>
              <w:widowControl/>
              <w:adjustRightInd w:val="0"/>
              <w:snapToGrid w:val="0"/>
              <w:jc w:val="center"/>
              <w:rPr>
                <w:snapToGrid w:val="0"/>
                <w:sz w:val="20"/>
                <w:lang w:val="da-DK"/>
              </w:rPr>
            </w:pPr>
            <w:r w:rsidRPr="001278B6">
              <w:rPr>
                <w:snapToGrid w:val="0"/>
                <w:sz w:val="20"/>
                <w:lang w:val="da-DK"/>
              </w:rPr>
              <w:t>5,7</w:t>
            </w:r>
          </w:p>
        </w:tc>
      </w:tr>
      <w:tr w:rsidR="00580D0B" w:rsidRPr="005476B6" w14:paraId="0335932F" w14:textId="77777777" w:rsidTr="00F466A3">
        <w:tc>
          <w:tcPr>
            <w:tcW w:w="3369" w:type="dxa"/>
          </w:tcPr>
          <w:p w14:paraId="5B455B63" w14:textId="77777777" w:rsidR="00580D0B" w:rsidRPr="001278B6" w:rsidRDefault="00580D0B"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015B05">
              <w:rPr>
                <w:iCs/>
                <w:snapToGrid w:val="0"/>
                <w:sz w:val="20"/>
                <w:lang w:val="da-DK"/>
              </w:rPr>
              <w:t>ratio</w:t>
            </w:r>
            <w:r w:rsidRPr="001278B6">
              <w:rPr>
                <w:snapToGrid w:val="0"/>
                <w:sz w:val="20"/>
                <w:lang w:val="da-DK"/>
              </w:rPr>
              <w:t xml:space="preserve"> (95 % konfidensinterval)</w:t>
            </w:r>
          </w:p>
        </w:tc>
        <w:tc>
          <w:tcPr>
            <w:tcW w:w="5923" w:type="dxa"/>
            <w:gridSpan w:val="2"/>
          </w:tcPr>
          <w:p w14:paraId="0ECFC3E7" w14:textId="77777777" w:rsidR="00580D0B" w:rsidRPr="001278B6" w:rsidRDefault="00580D0B" w:rsidP="001278B6">
            <w:pPr>
              <w:pStyle w:val="TableParagraph"/>
              <w:widowControl/>
              <w:adjustRightInd w:val="0"/>
              <w:snapToGrid w:val="0"/>
              <w:jc w:val="center"/>
              <w:rPr>
                <w:snapToGrid w:val="0"/>
                <w:sz w:val="20"/>
                <w:lang w:val="da-DK"/>
              </w:rPr>
            </w:pPr>
            <w:r w:rsidRPr="001278B6">
              <w:rPr>
                <w:snapToGrid w:val="0"/>
                <w:sz w:val="20"/>
                <w:lang w:val="da-DK"/>
              </w:rPr>
              <w:t>0,68 (0,59</w:t>
            </w:r>
            <w:r w:rsidR="004B3750">
              <w:rPr>
                <w:snapToGrid w:val="0"/>
                <w:sz w:val="20"/>
                <w:lang w:val="da-DK"/>
              </w:rPr>
              <w:noBreakHyphen/>
            </w:r>
            <w:r w:rsidRPr="001278B6">
              <w:rPr>
                <w:snapToGrid w:val="0"/>
                <w:sz w:val="20"/>
                <w:lang w:val="da-DK"/>
              </w:rPr>
              <w:t>0,78)</w:t>
            </w:r>
          </w:p>
          <w:p w14:paraId="539B2DB6" w14:textId="77777777" w:rsidR="00580D0B" w:rsidRPr="001278B6" w:rsidRDefault="00580D0B"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&lt; 0,0001)</w:t>
            </w:r>
          </w:p>
        </w:tc>
      </w:tr>
      <w:tr w:rsidR="008E4A4A" w:rsidRPr="005476B6" w14:paraId="5CFCBE5B" w14:textId="77777777" w:rsidTr="00F466A3">
        <w:tc>
          <w:tcPr>
            <w:tcW w:w="3369" w:type="dxa"/>
          </w:tcPr>
          <w:p w14:paraId="395C336A" w14:textId="061BAEF4" w:rsidR="008E4A4A" w:rsidRPr="001278B6" w:rsidRDefault="008E4A4A" w:rsidP="001278B6">
            <w:pPr>
              <w:pStyle w:val="TableParagraph"/>
              <w:widowControl/>
              <w:adjustRightInd w:val="0"/>
              <w:snapToGrid w:val="0"/>
              <w:rPr>
                <w:i/>
                <w:snapToGrid w:val="0"/>
                <w:sz w:val="20"/>
                <w:u w:val="single"/>
                <w:lang w:val="da-DK"/>
              </w:rPr>
            </w:pPr>
            <w:r w:rsidRPr="001278B6">
              <w:rPr>
                <w:b/>
                <w:snapToGrid w:val="0"/>
                <w:sz w:val="20"/>
                <w:u w:val="single"/>
                <w:lang w:val="da-DK"/>
              </w:rPr>
              <w:t>Objektiv responsrate</w:t>
            </w:r>
          </w:p>
        </w:tc>
        <w:tc>
          <w:tcPr>
            <w:tcW w:w="5923" w:type="dxa"/>
            <w:gridSpan w:val="2"/>
          </w:tcPr>
          <w:p w14:paraId="212D2BF9" w14:textId="77777777" w:rsidR="008E4A4A" w:rsidRPr="001278B6" w:rsidRDefault="008E4A4A" w:rsidP="001278B6">
            <w:pPr>
              <w:pStyle w:val="TableParagraph"/>
              <w:widowControl/>
              <w:adjustRightInd w:val="0"/>
              <w:snapToGrid w:val="0"/>
              <w:jc w:val="center"/>
              <w:rPr>
                <w:snapToGrid w:val="0"/>
                <w:sz w:val="20"/>
                <w:lang w:val="da-DK"/>
              </w:rPr>
            </w:pPr>
          </w:p>
        </w:tc>
      </w:tr>
      <w:tr w:rsidR="008E4A4A" w:rsidRPr="005476B6" w14:paraId="677765DF" w14:textId="77777777" w:rsidTr="00F466A3">
        <w:tc>
          <w:tcPr>
            <w:tcW w:w="3369" w:type="dxa"/>
          </w:tcPr>
          <w:p w14:paraId="671F8D29" w14:textId="77777777" w:rsidR="008E4A4A" w:rsidRPr="001278B6" w:rsidRDefault="008E4A4A" w:rsidP="001278B6">
            <w:pPr>
              <w:pStyle w:val="TableParagraph"/>
              <w:widowControl/>
              <w:adjustRightInd w:val="0"/>
              <w:snapToGrid w:val="0"/>
              <w:rPr>
                <w:b/>
                <w:snapToGrid w:val="0"/>
                <w:sz w:val="20"/>
                <w:lang w:val="da-DK"/>
              </w:rPr>
            </w:pPr>
            <w:r w:rsidRPr="001278B6">
              <w:rPr>
                <w:snapToGrid w:val="0"/>
                <w:sz w:val="20"/>
                <w:lang w:val="da-DK"/>
              </w:rPr>
              <w:t>Patienter inkluderet i analysen</w:t>
            </w:r>
          </w:p>
        </w:tc>
        <w:tc>
          <w:tcPr>
            <w:tcW w:w="2976" w:type="dxa"/>
          </w:tcPr>
          <w:p w14:paraId="40775182" w14:textId="77777777" w:rsidR="008E4A4A" w:rsidRPr="001278B6" w:rsidRDefault="008E4A4A" w:rsidP="001278B6">
            <w:pPr>
              <w:pStyle w:val="TableParagraph"/>
              <w:widowControl/>
              <w:adjustRightInd w:val="0"/>
              <w:snapToGrid w:val="0"/>
              <w:jc w:val="center"/>
              <w:rPr>
                <w:snapToGrid w:val="0"/>
                <w:sz w:val="20"/>
                <w:lang w:val="da-DK"/>
              </w:rPr>
            </w:pPr>
            <w:r w:rsidRPr="001278B6">
              <w:rPr>
                <w:snapToGrid w:val="0"/>
                <w:sz w:val="20"/>
                <w:lang w:val="da-DK"/>
              </w:rPr>
              <w:t>406</w:t>
            </w:r>
          </w:p>
        </w:tc>
        <w:tc>
          <w:tcPr>
            <w:tcW w:w="2947" w:type="dxa"/>
          </w:tcPr>
          <w:p w14:paraId="3C7ECC7B" w14:textId="77777777" w:rsidR="008E4A4A" w:rsidRPr="001278B6" w:rsidRDefault="008E4A4A" w:rsidP="001278B6">
            <w:pPr>
              <w:pStyle w:val="TableParagraph"/>
              <w:widowControl/>
              <w:adjustRightInd w:val="0"/>
              <w:snapToGrid w:val="0"/>
              <w:jc w:val="center"/>
              <w:rPr>
                <w:snapToGrid w:val="0"/>
                <w:sz w:val="20"/>
                <w:lang w:val="da-DK"/>
              </w:rPr>
            </w:pPr>
            <w:r w:rsidRPr="001278B6">
              <w:rPr>
                <w:snapToGrid w:val="0"/>
                <w:sz w:val="20"/>
                <w:lang w:val="da-DK"/>
              </w:rPr>
              <w:t>404</w:t>
            </w:r>
          </w:p>
        </w:tc>
      </w:tr>
      <w:tr w:rsidR="008E4A4A" w:rsidRPr="005476B6" w14:paraId="7D4E6EBC" w14:textId="77777777" w:rsidTr="00F466A3">
        <w:tc>
          <w:tcPr>
            <w:tcW w:w="3369" w:type="dxa"/>
          </w:tcPr>
          <w:p w14:paraId="6A8BF805" w14:textId="77777777" w:rsidR="008E4A4A" w:rsidRPr="001278B6" w:rsidRDefault="008E4A4A" w:rsidP="001278B6">
            <w:pPr>
              <w:pStyle w:val="TableParagraph"/>
              <w:widowControl/>
              <w:adjustRightInd w:val="0"/>
              <w:snapToGrid w:val="0"/>
              <w:ind w:left="180"/>
              <w:rPr>
                <w:snapToGrid w:val="0"/>
                <w:sz w:val="20"/>
                <w:lang w:val="da-DK"/>
              </w:rPr>
            </w:pPr>
            <w:r w:rsidRPr="001278B6">
              <w:rPr>
                <w:snapToGrid w:val="0"/>
                <w:sz w:val="20"/>
                <w:lang w:val="da-DK"/>
              </w:rPr>
              <w:t>Rate</w:t>
            </w:r>
          </w:p>
        </w:tc>
        <w:tc>
          <w:tcPr>
            <w:tcW w:w="2976" w:type="dxa"/>
          </w:tcPr>
          <w:p w14:paraId="16B6DA1F" w14:textId="77777777" w:rsidR="008E4A4A" w:rsidRPr="001278B6" w:rsidRDefault="008E4A4A" w:rsidP="001278B6">
            <w:pPr>
              <w:pStyle w:val="TableParagraph"/>
              <w:widowControl/>
              <w:adjustRightInd w:val="0"/>
              <w:snapToGrid w:val="0"/>
              <w:jc w:val="center"/>
              <w:rPr>
                <w:snapToGrid w:val="0"/>
                <w:sz w:val="20"/>
                <w:lang w:val="da-DK"/>
              </w:rPr>
            </w:pPr>
            <w:r w:rsidRPr="001278B6">
              <w:rPr>
                <w:snapToGrid w:val="0"/>
                <w:sz w:val="20"/>
                <w:lang w:val="da-DK"/>
              </w:rPr>
              <w:t>3,9 %</w:t>
            </w:r>
          </w:p>
        </w:tc>
        <w:tc>
          <w:tcPr>
            <w:tcW w:w="2947" w:type="dxa"/>
          </w:tcPr>
          <w:p w14:paraId="7FDA85DD" w14:textId="77777777" w:rsidR="008E4A4A" w:rsidRPr="001278B6" w:rsidRDefault="008E4A4A" w:rsidP="001278B6">
            <w:pPr>
              <w:pStyle w:val="TableParagraph"/>
              <w:widowControl/>
              <w:adjustRightInd w:val="0"/>
              <w:snapToGrid w:val="0"/>
              <w:jc w:val="center"/>
              <w:rPr>
                <w:snapToGrid w:val="0"/>
                <w:sz w:val="20"/>
                <w:lang w:val="da-DK"/>
              </w:rPr>
            </w:pPr>
            <w:r w:rsidRPr="001278B6">
              <w:rPr>
                <w:snapToGrid w:val="0"/>
                <w:sz w:val="20"/>
                <w:lang w:val="da-DK"/>
              </w:rPr>
              <w:t>5,4 %</w:t>
            </w:r>
          </w:p>
        </w:tc>
      </w:tr>
      <w:tr w:rsidR="008E4A4A" w:rsidRPr="005476B6" w14:paraId="1D2438C7" w14:textId="77777777" w:rsidTr="00F466A3">
        <w:tc>
          <w:tcPr>
            <w:tcW w:w="3369" w:type="dxa"/>
          </w:tcPr>
          <w:p w14:paraId="44FB2173" w14:textId="77777777" w:rsidR="008E4A4A" w:rsidRPr="001278B6" w:rsidRDefault="008E4A4A" w:rsidP="001278B6">
            <w:pPr>
              <w:pStyle w:val="TableParagraph"/>
              <w:widowControl/>
              <w:adjustRightInd w:val="0"/>
              <w:snapToGrid w:val="0"/>
              <w:rPr>
                <w:snapToGrid w:val="0"/>
                <w:sz w:val="20"/>
                <w:lang w:val="da-DK"/>
              </w:rPr>
            </w:pPr>
          </w:p>
        </w:tc>
        <w:tc>
          <w:tcPr>
            <w:tcW w:w="5923" w:type="dxa"/>
            <w:gridSpan w:val="2"/>
          </w:tcPr>
          <w:p w14:paraId="713F1C0E" w14:textId="77777777" w:rsidR="008E4A4A" w:rsidRPr="001278B6" w:rsidRDefault="008E4A4A"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0,3113)</w:t>
            </w:r>
          </w:p>
        </w:tc>
      </w:tr>
    </w:tbl>
    <w:p w14:paraId="11A2EF28" w14:textId="77777777" w:rsidR="003563EF" w:rsidRPr="001278B6" w:rsidRDefault="00473235" w:rsidP="001278B6">
      <w:pPr>
        <w:widowControl/>
        <w:adjustRightInd w:val="0"/>
        <w:snapToGrid w:val="0"/>
        <w:rPr>
          <w:snapToGrid w:val="0"/>
          <w:lang w:val="da-DK"/>
        </w:rPr>
      </w:pPr>
      <w:r w:rsidRPr="001278B6">
        <w:rPr>
          <w:snapToGrid w:val="0"/>
          <w:sz w:val="18"/>
          <w:szCs w:val="18"/>
          <w:vertAlign w:val="superscript"/>
          <w:lang w:val="da-DK"/>
        </w:rPr>
        <w:t>a</w:t>
      </w:r>
      <w:r w:rsidRPr="001278B6">
        <w:rPr>
          <w:snapToGrid w:val="0"/>
          <w:sz w:val="18"/>
          <w:szCs w:val="18"/>
          <w:lang w:val="da-DK"/>
        </w:rPr>
        <w:t xml:space="preserve"> 5,0</w:t>
      </w:r>
      <w:r w:rsidR="00D003C8">
        <w:rPr>
          <w:snapToGrid w:val="0"/>
          <w:sz w:val="18"/>
          <w:szCs w:val="18"/>
          <w:lang w:val="da-DK"/>
        </w:rPr>
        <w:t> mg</w:t>
      </w:r>
      <w:r w:rsidRPr="001278B6">
        <w:rPr>
          <w:snapToGrid w:val="0"/>
          <w:sz w:val="18"/>
          <w:szCs w:val="18"/>
          <w:lang w:val="da-DK"/>
        </w:rPr>
        <w:t>/kg hver 2.uge eller 7,5</w:t>
      </w:r>
      <w:r w:rsidR="00D003C8">
        <w:rPr>
          <w:snapToGrid w:val="0"/>
          <w:sz w:val="18"/>
          <w:szCs w:val="18"/>
          <w:lang w:val="da-DK"/>
        </w:rPr>
        <w:t> mg</w:t>
      </w:r>
      <w:r w:rsidRPr="001278B6">
        <w:rPr>
          <w:snapToGrid w:val="0"/>
          <w:sz w:val="18"/>
          <w:szCs w:val="18"/>
          <w:lang w:val="da-DK"/>
        </w:rPr>
        <w:t>/kg hver 3.uge</w:t>
      </w:r>
      <w:r w:rsidRPr="001278B6">
        <w:rPr>
          <w:snapToGrid w:val="0"/>
          <w:lang w:val="da-DK"/>
        </w:rPr>
        <w:t>.</w:t>
      </w:r>
    </w:p>
    <w:p w14:paraId="32BD823C" w14:textId="77777777" w:rsidR="003563EF" w:rsidRPr="001278B6" w:rsidRDefault="003563EF" w:rsidP="001278B6">
      <w:pPr>
        <w:pStyle w:val="a3"/>
        <w:widowControl/>
        <w:adjustRightInd w:val="0"/>
        <w:snapToGrid w:val="0"/>
        <w:rPr>
          <w:snapToGrid w:val="0"/>
          <w:lang w:val="da-DK"/>
        </w:rPr>
      </w:pPr>
    </w:p>
    <w:p w14:paraId="2B3A142F" w14:textId="6F138846" w:rsidR="003563EF" w:rsidRPr="001278B6" w:rsidRDefault="00473235" w:rsidP="001278B6">
      <w:pPr>
        <w:pStyle w:val="a3"/>
        <w:widowControl/>
        <w:adjustRightInd w:val="0"/>
        <w:snapToGrid w:val="0"/>
        <w:rPr>
          <w:snapToGrid w:val="0"/>
          <w:lang w:val="da-DK"/>
        </w:rPr>
      </w:pPr>
      <w:r w:rsidRPr="001278B6">
        <w:rPr>
          <w:snapToGrid w:val="0"/>
          <w:lang w:val="da-DK"/>
        </w:rPr>
        <w:t xml:space="preserve">Der blev også observeret statistisk signifikante forbedringer i </w:t>
      </w:r>
      <w:r w:rsidR="00052C55">
        <w:rPr>
          <w:snapToGrid w:val="0"/>
          <w:lang w:val="da-DK"/>
        </w:rPr>
        <w:t>PFS</w:t>
      </w:r>
      <w:r w:rsidRPr="001278B6">
        <w:rPr>
          <w:snapToGrid w:val="0"/>
          <w:lang w:val="da-DK"/>
        </w:rPr>
        <w:t>. Objektiv responsrate var lav i begge behandlingsarme, og forskellen var ikke signifikant.</w:t>
      </w:r>
    </w:p>
    <w:p w14:paraId="6E25277D" w14:textId="77777777" w:rsidR="003563EF" w:rsidRPr="001278B6" w:rsidRDefault="003563EF" w:rsidP="001278B6">
      <w:pPr>
        <w:pStyle w:val="a3"/>
        <w:widowControl/>
        <w:adjustRightInd w:val="0"/>
        <w:snapToGrid w:val="0"/>
        <w:rPr>
          <w:snapToGrid w:val="0"/>
          <w:lang w:val="da-DK"/>
        </w:rPr>
      </w:pPr>
    </w:p>
    <w:p w14:paraId="2268CD24" w14:textId="77777777" w:rsidR="003563EF" w:rsidRPr="001278B6" w:rsidRDefault="00473235" w:rsidP="001278B6">
      <w:pPr>
        <w:pStyle w:val="a3"/>
        <w:widowControl/>
        <w:adjustRightInd w:val="0"/>
        <w:snapToGrid w:val="0"/>
        <w:rPr>
          <w:snapToGrid w:val="0"/>
          <w:lang w:val="da-DK"/>
        </w:rPr>
      </w:pPr>
      <w:r w:rsidRPr="001278B6">
        <w:rPr>
          <w:snapToGrid w:val="0"/>
          <w:lang w:val="da-DK"/>
        </w:rPr>
        <w:t>I E3200</w:t>
      </w:r>
      <w:r w:rsidR="004B3750">
        <w:rPr>
          <w:snapToGrid w:val="0"/>
          <w:lang w:val="da-DK"/>
        </w:rPr>
        <w:noBreakHyphen/>
      </w:r>
      <w:r w:rsidRPr="001278B6">
        <w:rPr>
          <w:snapToGrid w:val="0"/>
          <w:lang w:val="da-DK"/>
        </w:rPr>
        <w:t>studiet blev der anvendt en bevacizumabdosis svarende til 5</w:t>
      </w:r>
      <w:r w:rsidR="00D003C8">
        <w:rPr>
          <w:snapToGrid w:val="0"/>
          <w:lang w:val="da-DK"/>
        </w:rPr>
        <w:t> mg</w:t>
      </w:r>
      <w:r w:rsidRPr="001278B6">
        <w:rPr>
          <w:snapToGrid w:val="0"/>
          <w:lang w:val="da-DK"/>
        </w:rPr>
        <w:t>/kg/uge til bevacizumab</w:t>
      </w:r>
      <w:r w:rsidR="004B3750">
        <w:rPr>
          <w:snapToGrid w:val="0"/>
          <w:lang w:val="da-DK"/>
        </w:rPr>
        <w:noBreakHyphen/>
      </w:r>
      <w:r w:rsidRPr="001278B6">
        <w:rPr>
          <w:snapToGrid w:val="0"/>
          <w:lang w:val="da-DK"/>
        </w:rPr>
        <w:t>naive patienter, mens der i ML18147</w:t>
      </w:r>
      <w:r w:rsidR="004B3750">
        <w:rPr>
          <w:snapToGrid w:val="0"/>
          <w:lang w:val="da-DK"/>
        </w:rPr>
        <w:noBreakHyphen/>
      </w:r>
      <w:r w:rsidRPr="001278B6">
        <w:rPr>
          <w:snapToGrid w:val="0"/>
          <w:lang w:val="da-DK"/>
        </w:rPr>
        <w:t>studiet blev anvendt en bevacizumabdosis svarende til 2,5</w:t>
      </w:r>
      <w:r w:rsidR="00D003C8">
        <w:rPr>
          <w:snapToGrid w:val="0"/>
          <w:lang w:val="da-DK"/>
        </w:rPr>
        <w:t> mg</w:t>
      </w:r>
      <w:r w:rsidRPr="001278B6">
        <w:rPr>
          <w:snapToGrid w:val="0"/>
          <w:lang w:val="da-DK"/>
        </w:rPr>
        <w:t>/kg/uge til patienter, som tidligere var behandlet med bevacizumab. Sammenligning af virknings</w:t>
      </w:r>
      <w:r w:rsidR="004B3750">
        <w:rPr>
          <w:snapToGrid w:val="0"/>
          <w:lang w:val="da-DK"/>
        </w:rPr>
        <w:noBreakHyphen/>
      </w:r>
      <w:r w:rsidRPr="001278B6">
        <w:rPr>
          <w:snapToGrid w:val="0"/>
          <w:lang w:val="da-DK"/>
        </w:rPr>
        <w:t xml:space="preserve"> og sikkerhedsdata på tværs af studierne er begrænset af forskellene i studierne, især forskellene i patientpopulation, tidligere bevacizumab</w:t>
      </w:r>
      <w:r w:rsidR="004B3750">
        <w:rPr>
          <w:snapToGrid w:val="0"/>
          <w:lang w:val="da-DK"/>
        </w:rPr>
        <w:noBreakHyphen/>
      </w:r>
      <w:r w:rsidRPr="001278B6">
        <w:rPr>
          <w:snapToGrid w:val="0"/>
          <w:lang w:val="da-DK"/>
        </w:rPr>
        <w:t>eksponering og kemoterapi</w:t>
      </w:r>
      <w:r w:rsidR="004B3750">
        <w:rPr>
          <w:snapToGrid w:val="0"/>
          <w:lang w:val="da-DK"/>
        </w:rPr>
        <w:noBreakHyphen/>
      </w:r>
      <w:r w:rsidRPr="001278B6">
        <w:rPr>
          <w:snapToGrid w:val="0"/>
          <w:lang w:val="da-DK"/>
        </w:rPr>
        <w:t>regimer. Både bevacizumabdoser svarende til 5</w:t>
      </w:r>
      <w:r w:rsidR="00D003C8">
        <w:rPr>
          <w:snapToGrid w:val="0"/>
          <w:lang w:val="da-DK"/>
        </w:rPr>
        <w:t> mg</w:t>
      </w:r>
      <w:r w:rsidRPr="001278B6">
        <w:rPr>
          <w:snapToGrid w:val="0"/>
          <w:lang w:val="da-DK"/>
        </w:rPr>
        <w:t>/kg/uge og 2,5</w:t>
      </w:r>
      <w:r w:rsidR="00D003C8">
        <w:rPr>
          <w:snapToGrid w:val="0"/>
          <w:lang w:val="da-DK"/>
        </w:rPr>
        <w:t> mg</w:t>
      </w:r>
      <w:r w:rsidRPr="001278B6">
        <w:rPr>
          <w:snapToGrid w:val="0"/>
          <w:lang w:val="da-DK"/>
        </w:rPr>
        <w:t>/kg/uge viste statistisk signifikant fordel med hensyn til samlet overlevelse (</w:t>
      </w:r>
      <w:r w:rsidRPr="001278B6">
        <w:rPr>
          <w:i/>
          <w:snapToGrid w:val="0"/>
          <w:lang w:val="da-DK"/>
        </w:rPr>
        <w:t xml:space="preserve">hazard </w:t>
      </w:r>
      <w:r w:rsidRPr="001278B6">
        <w:rPr>
          <w:snapToGrid w:val="0"/>
          <w:lang w:val="da-DK"/>
        </w:rPr>
        <w:t>ratio 0,751 i E3200</w:t>
      </w:r>
      <w:r w:rsidR="004B3750">
        <w:rPr>
          <w:snapToGrid w:val="0"/>
          <w:lang w:val="da-DK"/>
        </w:rPr>
        <w:noBreakHyphen/>
      </w:r>
      <w:r w:rsidRPr="001278B6">
        <w:rPr>
          <w:snapToGrid w:val="0"/>
          <w:lang w:val="da-DK"/>
        </w:rPr>
        <w:t xml:space="preserve">studiet, </w:t>
      </w:r>
      <w:r w:rsidRPr="001278B6">
        <w:rPr>
          <w:i/>
          <w:snapToGrid w:val="0"/>
          <w:lang w:val="da-DK"/>
        </w:rPr>
        <w:t xml:space="preserve">hazard </w:t>
      </w:r>
      <w:r w:rsidRPr="001278B6">
        <w:rPr>
          <w:snapToGrid w:val="0"/>
          <w:lang w:val="da-DK"/>
        </w:rPr>
        <w:t>ratio 0,81 i ML18147</w:t>
      </w:r>
      <w:r w:rsidR="004B3750">
        <w:rPr>
          <w:snapToGrid w:val="0"/>
          <w:lang w:val="da-DK"/>
        </w:rPr>
        <w:noBreakHyphen/>
      </w:r>
      <w:r w:rsidRPr="001278B6">
        <w:rPr>
          <w:snapToGrid w:val="0"/>
          <w:lang w:val="da-DK"/>
        </w:rPr>
        <w:t>studiet) og progressionfri overlevelse (</w:t>
      </w:r>
      <w:r w:rsidRPr="001278B6">
        <w:rPr>
          <w:i/>
          <w:snapToGrid w:val="0"/>
          <w:lang w:val="da-DK"/>
        </w:rPr>
        <w:t xml:space="preserve">hazard </w:t>
      </w:r>
      <w:r w:rsidRPr="001278B6">
        <w:rPr>
          <w:snapToGrid w:val="0"/>
          <w:lang w:val="da-DK"/>
        </w:rPr>
        <w:t>ratio 0,518 i E3200</w:t>
      </w:r>
      <w:r w:rsidR="004B3750">
        <w:rPr>
          <w:snapToGrid w:val="0"/>
          <w:lang w:val="da-DK"/>
        </w:rPr>
        <w:noBreakHyphen/>
      </w:r>
      <w:r w:rsidRPr="001278B6">
        <w:rPr>
          <w:snapToGrid w:val="0"/>
          <w:lang w:val="da-DK"/>
        </w:rPr>
        <w:t xml:space="preserve">studiet, </w:t>
      </w:r>
      <w:r w:rsidRPr="001278B6">
        <w:rPr>
          <w:i/>
          <w:snapToGrid w:val="0"/>
          <w:lang w:val="da-DK"/>
        </w:rPr>
        <w:t xml:space="preserve">hazard </w:t>
      </w:r>
      <w:r w:rsidRPr="001278B6">
        <w:rPr>
          <w:snapToGrid w:val="0"/>
          <w:lang w:val="da-DK"/>
        </w:rPr>
        <w:t>ratio 0,68 i ML18147</w:t>
      </w:r>
      <w:r w:rsidR="004B3750">
        <w:rPr>
          <w:snapToGrid w:val="0"/>
          <w:lang w:val="da-DK"/>
        </w:rPr>
        <w:noBreakHyphen/>
      </w:r>
      <w:r w:rsidRPr="001278B6">
        <w:rPr>
          <w:snapToGrid w:val="0"/>
          <w:lang w:val="da-DK"/>
        </w:rPr>
        <w:t>studiet). Med hensyn til sikkerheden var der overordnet en højere forekomst af grad 3</w:t>
      </w:r>
      <w:r w:rsidR="004B3750">
        <w:rPr>
          <w:snapToGrid w:val="0"/>
          <w:lang w:val="da-DK"/>
        </w:rPr>
        <w:noBreakHyphen/>
      </w:r>
      <w:r w:rsidRPr="001278B6">
        <w:rPr>
          <w:snapToGrid w:val="0"/>
          <w:lang w:val="da-DK"/>
        </w:rPr>
        <w:t>5 bivirkninger i E3200</w:t>
      </w:r>
      <w:r w:rsidR="004B3750">
        <w:rPr>
          <w:snapToGrid w:val="0"/>
          <w:lang w:val="da-DK"/>
        </w:rPr>
        <w:noBreakHyphen/>
      </w:r>
      <w:r w:rsidRPr="001278B6">
        <w:rPr>
          <w:snapToGrid w:val="0"/>
          <w:lang w:val="da-DK"/>
        </w:rPr>
        <w:t>studiet sammenlignet med ML18147</w:t>
      </w:r>
      <w:r w:rsidR="004B3750">
        <w:rPr>
          <w:snapToGrid w:val="0"/>
          <w:lang w:val="da-DK"/>
        </w:rPr>
        <w:noBreakHyphen/>
      </w:r>
      <w:r w:rsidRPr="001278B6">
        <w:rPr>
          <w:snapToGrid w:val="0"/>
          <w:lang w:val="da-DK"/>
        </w:rPr>
        <w:t>studiet.</w:t>
      </w:r>
    </w:p>
    <w:p w14:paraId="299292C1" w14:textId="77777777" w:rsidR="003563EF" w:rsidRPr="001278B6" w:rsidRDefault="003563EF" w:rsidP="001278B6">
      <w:pPr>
        <w:pStyle w:val="a3"/>
        <w:widowControl/>
        <w:adjustRightInd w:val="0"/>
        <w:snapToGrid w:val="0"/>
        <w:rPr>
          <w:snapToGrid w:val="0"/>
          <w:lang w:val="da-DK"/>
        </w:rPr>
      </w:pPr>
    </w:p>
    <w:p w14:paraId="7714C42F"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Metastatisk brystkræft (mBC)</w:t>
      </w:r>
    </w:p>
    <w:p w14:paraId="72B7499D" w14:textId="77777777" w:rsidR="003563EF" w:rsidRPr="001278B6" w:rsidRDefault="003563EF" w:rsidP="001278B6">
      <w:pPr>
        <w:pStyle w:val="a3"/>
        <w:keepNext/>
        <w:keepLines/>
        <w:widowControl/>
        <w:adjustRightInd w:val="0"/>
        <w:snapToGrid w:val="0"/>
        <w:rPr>
          <w:i/>
          <w:snapToGrid w:val="0"/>
          <w:lang w:val="da-DK"/>
        </w:rPr>
      </w:pPr>
    </w:p>
    <w:p w14:paraId="7C9006B0" w14:textId="77777777" w:rsidR="003563EF" w:rsidRPr="001278B6" w:rsidRDefault="00473235" w:rsidP="001278B6">
      <w:pPr>
        <w:pStyle w:val="a3"/>
        <w:widowControl/>
        <w:adjustRightInd w:val="0"/>
        <w:snapToGrid w:val="0"/>
        <w:rPr>
          <w:snapToGrid w:val="0"/>
          <w:lang w:val="da-DK"/>
        </w:rPr>
      </w:pPr>
      <w:r w:rsidRPr="001278B6">
        <w:rPr>
          <w:snapToGrid w:val="0"/>
          <w:lang w:val="da-DK"/>
        </w:rPr>
        <w:t>To store fase III</w:t>
      </w:r>
      <w:r w:rsidR="004B3750">
        <w:rPr>
          <w:snapToGrid w:val="0"/>
          <w:lang w:val="da-DK"/>
        </w:rPr>
        <w:noBreakHyphen/>
      </w:r>
      <w:r w:rsidRPr="001278B6">
        <w:rPr>
          <w:snapToGrid w:val="0"/>
          <w:lang w:val="da-DK"/>
        </w:rPr>
        <w:t xml:space="preserve">studier blev designet for at undersøge behandlingseffekten af </w:t>
      </w:r>
      <w:r w:rsidR="00267822">
        <w:rPr>
          <w:snapToGrid w:val="0"/>
          <w:lang w:val="da-DK"/>
        </w:rPr>
        <w:t>bevacizumab</w:t>
      </w:r>
      <w:r w:rsidRPr="001278B6">
        <w:rPr>
          <w:snapToGrid w:val="0"/>
          <w:lang w:val="da-DK"/>
        </w:rPr>
        <w:t xml:space="preserve"> i kombination med to individuelle kemoterapeutika, målt ved det primære endepunkt progressionsfri overlevelse (PFS). Der blev observeret en klinisk betydningsfuld og statistisk signifikant forbedring i PFS i begge studier.</w:t>
      </w:r>
    </w:p>
    <w:p w14:paraId="3C5D9B7A" w14:textId="77777777" w:rsidR="003563EF" w:rsidRPr="001278B6" w:rsidRDefault="003563EF" w:rsidP="001278B6">
      <w:pPr>
        <w:pStyle w:val="a3"/>
        <w:widowControl/>
        <w:adjustRightInd w:val="0"/>
        <w:snapToGrid w:val="0"/>
        <w:rPr>
          <w:snapToGrid w:val="0"/>
          <w:lang w:val="da-DK"/>
        </w:rPr>
      </w:pPr>
    </w:p>
    <w:p w14:paraId="6E2275CD"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Resultaterne for PFS af de individuelle kemoterapeutika inkluderet i indikationen er opsummeret nedenfor:</w:t>
      </w:r>
    </w:p>
    <w:p w14:paraId="3B0E3B8C" w14:textId="77777777" w:rsidR="003563EF" w:rsidRPr="001278B6" w:rsidRDefault="003563EF" w:rsidP="001278B6">
      <w:pPr>
        <w:pStyle w:val="a3"/>
        <w:keepNext/>
        <w:keepLines/>
        <w:widowControl/>
        <w:adjustRightInd w:val="0"/>
        <w:snapToGrid w:val="0"/>
        <w:rPr>
          <w:snapToGrid w:val="0"/>
          <w:lang w:val="da-DK"/>
        </w:rPr>
      </w:pPr>
    </w:p>
    <w:p w14:paraId="2C0F504A" w14:textId="77777777" w:rsidR="003563EF" w:rsidRPr="001278B6" w:rsidRDefault="00473235" w:rsidP="001278B6">
      <w:pPr>
        <w:pStyle w:val="a3"/>
        <w:keepNext/>
        <w:keepLines/>
        <w:widowControl/>
        <w:numPr>
          <w:ilvl w:val="0"/>
          <w:numId w:val="16"/>
        </w:numPr>
        <w:autoSpaceDE/>
        <w:autoSpaceDN/>
        <w:adjustRightInd w:val="0"/>
        <w:snapToGrid w:val="0"/>
        <w:ind w:left="567" w:firstLine="0"/>
        <w:rPr>
          <w:lang w:val="da-DK"/>
        </w:rPr>
      </w:pPr>
      <w:r w:rsidRPr="001278B6">
        <w:rPr>
          <w:rFonts w:cs="Arial"/>
          <w:color w:val="000000"/>
          <w:lang w:val="en-GB"/>
        </w:rPr>
        <w:t>Studie</w:t>
      </w:r>
      <w:r w:rsidRPr="001278B6">
        <w:rPr>
          <w:lang w:val="da-DK"/>
        </w:rPr>
        <w:t xml:space="preserve"> E2100 (paclitaxel)</w:t>
      </w:r>
    </w:p>
    <w:p w14:paraId="6287E5F8" w14:textId="77777777" w:rsidR="003563EF" w:rsidRPr="001278B6" w:rsidRDefault="00473235" w:rsidP="001278B6">
      <w:pPr>
        <w:pStyle w:val="a3"/>
        <w:widowControl/>
        <w:numPr>
          <w:ilvl w:val="0"/>
          <w:numId w:val="16"/>
        </w:numPr>
        <w:autoSpaceDE/>
        <w:autoSpaceDN/>
        <w:adjustRightInd w:val="0"/>
        <w:snapToGrid w:val="0"/>
        <w:ind w:left="1701"/>
        <w:rPr>
          <w:lang w:val="da-DK"/>
        </w:rPr>
      </w:pPr>
      <w:r w:rsidRPr="00515644">
        <w:rPr>
          <w:rFonts w:cs="Arial"/>
          <w:color w:val="000000"/>
          <w:lang w:val="da-DK"/>
        </w:rPr>
        <w:t>Median</w:t>
      </w:r>
      <w:r w:rsidRPr="001278B6">
        <w:rPr>
          <w:lang w:val="da-DK"/>
        </w:rPr>
        <w:t xml:space="preserve"> PFS</w:t>
      </w:r>
      <w:r w:rsidR="004B3750">
        <w:rPr>
          <w:lang w:val="da-DK"/>
        </w:rPr>
        <w:noBreakHyphen/>
      </w:r>
      <w:r w:rsidRPr="001278B6">
        <w:rPr>
          <w:lang w:val="da-DK"/>
        </w:rPr>
        <w:t xml:space="preserve">øgning på 5,6 måneder, </w:t>
      </w:r>
      <w:r w:rsidRPr="001278B6">
        <w:rPr>
          <w:i/>
          <w:lang w:val="da-DK"/>
        </w:rPr>
        <w:t xml:space="preserve">hazard </w:t>
      </w:r>
      <w:r w:rsidRPr="001278B6">
        <w:rPr>
          <w:lang w:val="da-DK"/>
        </w:rPr>
        <w:t>ratio 0,421 (p &lt; 0,0001, 95 % konfidensinterval 0,343</w:t>
      </w:r>
      <w:r w:rsidR="004B3750">
        <w:rPr>
          <w:lang w:val="da-DK"/>
        </w:rPr>
        <w:noBreakHyphen/>
      </w:r>
      <w:r w:rsidRPr="001278B6">
        <w:rPr>
          <w:lang w:val="da-DK"/>
        </w:rPr>
        <w:t>0,516)</w:t>
      </w:r>
    </w:p>
    <w:p w14:paraId="128E590D" w14:textId="77777777" w:rsidR="003563EF" w:rsidRPr="001278B6" w:rsidRDefault="00473235" w:rsidP="001278B6">
      <w:pPr>
        <w:pStyle w:val="a3"/>
        <w:keepNext/>
        <w:keepLines/>
        <w:widowControl/>
        <w:numPr>
          <w:ilvl w:val="0"/>
          <w:numId w:val="16"/>
        </w:numPr>
        <w:autoSpaceDE/>
        <w:autoSpaceDN/>
        <w:adjustRightInd w:val="0"/>
        <w:snapToGrid w:val="0"/>
        <w:ind w:left="567" w:firstLine="0"/>
        <w:rPr>
          <w:lang w:val="da-DK"/>
        </w:rPr>
      </w:pPr>
      <w:r w:rsidRPr="001278B6">
        <w:rPr>
          <w:lang w:val="da-DK"/>
        </w:rPr>
        <w:lastRenderedPageBreak/>
        <w:t>Studie AVF3694g (capecitabin)</w:t>
      </w:r>
    </w:p>
    <w:p w14:paraId="79FB0828" w14:textId="77777777" w:rsidR="003563EF" w:rsidRPr="001278B6" w:rsidRDefault="00473235" w:rsidP="001278B6">
      <w:pPr>
        <w:pStyle w:val="a3"/>
        <w:widowControl/>
        <w:numPr>
          <w:ilvl w:val="0"/>
          <w:numId w:val="16"/>
        </w:numPr>
        <w:autoSpaceDE/>
        <w:autoSpaceDN/>
        <w:adjustRightInd w:val="0"/>
        <w:snapToGrid w:val="0"/>
        <w:ind w:left="1701"/>
        <w:rPr>
          <w:lang w:val="da-DK"/>
        </w:rPr>
      </w:pPr>
      <w:r w:rsidRPr="00515644">
        <w:rPr>
          <w:rFonts w:cs="Arial"/>
          <w:color w:val="000000"/>
          <w:lang w:val="da-DK"/>
        </w:rPr>
        <w:t>Median</w:t>
      </w:r>
      <w:r w:rsidRPr="001278B6">
        <w:rPr>
          <w:lang w:val="da-DK"/>
        </w:rPr>
        <w:t xml:space="preserve"> PFS</w:t>
      </w:r>
      <w:r w:rsidR="004B3750">
        <w:rPr>
          <w:lang w:val="da-DK"/>
        </w:rPr>
        <w:noBreakHyphen/>
      </w:r>
      <w:r w:rsidRPr="001278B6">
        <w:rPr>
          <w:lang w:val="da-DK"/>
        </w:rPr>
        <w:t xml:space="preserve">øgning på 2,9 måneder, </w:t>
      </w:r>
      <w:r w:rsidRPr="001278B6">
        <w:rPr>
          <w:i/>
          <w:lang w:val="da-DK"/>
        </w:rPr>
        <w:t xml:space="preserve">hazard </w:t>
      </w:r>
      <w:r w:rsidRPr="001278B6">
        <w:rPr>
          <w:lang w:val="da-DK"/>
        </w:rPr>
        <w:t>ratio 0,69 (p = 0,0002, 95 % konfidensinterval 0,56</w:t>
      </w:r>
      <w:r w:rsidR="004B3750">
        <w:rPr>
          <w:lang w:val="da-DK"/>
        </w:rPr>
        <w:noBreakHyphen/>
      </w:r>
      <w:r w:rsidRPr="001278B6">
        <w:rPr>
          <w:lang w:val="da-DK"/>
        </w:rPr>
        <w:t>0,84)</w:t>
      </w:r>
    </w:p>
    <w:p w14:paraId="2E74EED4" w14:textId="77777777" w:rsidR="0079124A" w:rsidRPr="001278B6" w:rsidRDefault="0079124A" w:rsidP="001278B6">
      <w:pPr>
        <w:widowControl/>
        <w:adjustRightInd w:val="0"/>
        <w:snapToGrid w:val="0"/>
        <w:rPr>
          <w:snapToGrid w:val="0"/>
          <w:lang w:val="da-DK"/>
        </w:rPr>
      </w:pPr>
    </w:p>
    <w:p w14:paraId="56FAFE13" w14:textId="77777777" w:rsidR="003563EF" w:rsidRPr="001278B6" w:rsidRDefault="00473235" w:rsidP="001278B6">
      <w:pPr>
        <w:pStyle w:val="a3"/>
        <w:widowControl/>
        <w:adjustRightInd w:val="0"/>
        <w:snapToGrid w:val="0"/>
        <w:rPr>
          <w:snapToGrid w:val="0"/>
          <w:lang w:val="da-DK"/>
        </w:rPr>
      </w:pPr>
      <w:r w:rsidRPr="001278B6">
        <w:rPr>
          <w:snapToGrid w:val="0"/>
          <w:lang w:val="da-DK"/>
        </w:rPr>
        <w:t>Nærmere detaljer om de to studier og resultaterne heraf er beskrevet nedenfor.</w:t>
      </w:r>
    </w:p>
    <w:p w14:paraId="75F20E8B" w14:textId="77777777" w:rsidR="003563EF" w:rsidRPr="001278B6" w:rsidRDefault="003563EF" w:rsidP="001278B6">
      <w:pPr>
        <w:pStyle w:val="a3"/>
        <w:widowControl/>
        <w:adjustRightInd w:val="0"/>
        <w:snapToGrid w:val="0"/>
        <w:rPr>
          <w:snapToGrid w:val="0"/>
          <w:lang w:val="da-DK"/>
        </w:rPr>
      </w:pPr>
    </w:p>
    <w:p w14:paraId="6224DD0F"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ECOG E2100</w:t>
      </w:r>
    </w:p>
    <w:p w14:paraId="3B417E50" w14:textId="04B87102" w:rsidR="003563EF" w:rsidRPr="001278B6" w:rsidRDefault="00473235" w:rsidP="001278B6">
      <w:pPr>
        <w:pStyle w:val="a3"/>
        <w:widowControl/>
        <w:adjustRightInd w:val="0"/>
        <w:snapToGrid w:val="0"/>
        <w:rPr>
          <w:snapToGrid w:val="0"/>
          <w:lang w:val="da-DK"/>
        </w:rPr>
      </w:pPr>
      <w:r w:rsidRPr="001278B6">
        <w:rPr>
          <w:snapToGrid w:val="0"/>
          <w:lang w:val="da-DK"/>
        </w:rPr>
        <w:t xml:space="preserve">Studie E2100 var et åbent, randomiseret, aktivt kontrolleret, multicenter klinisk studie til evaluering af </w:t>
      </w:r>
      <w:r w:rsidR="00267822">
        <w:rPr>
          <w:snapToGrid w:val="0"/>
          <w:lang w:val="da-DK"/>
        </w:rPr>
        <w:t>bevacizumab</w:t>
      </w:r>
      <w:r w:rsidRPr="001278B6">
        <w:rPr>
          <w:snapToGrid w:val="0"/>
          <w:lang w:val="da-DK"/>
        </w:rPr>
        <w:t xml:space="preserve"> i kombination med paclitaxel til lokalt recidiverende eller metastatisk brystkræft hos patienter, som ikke tidligere havde fået kemoterapi for lokalt recidiverende og metastatisk sygdom. Patienterne blev randomiseret til paclitaxel alene (90</w:t>
      </w:r>
      <w:r w:rsidR="00D003C8">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w:t>
      </w:r>
      <w:r w:rsidR="003112F6">
        <w:rPr>
          <w:snapToGrid w:val="0"/>
          <w:lang w:val="da-DK"/>
        </w:rPr>
        <w:t>administreret</w:t>
      </w:r>
      <w:r w:rsidRPr="001278B6">
        <w:rPr>
          <w:snapToGrid w:val="0"/>
          <w:lang w:val="da-DK"/>
        </w:rPr>
        <w:t xml:space="preserve"> intravenøst som 1</w:t>
      </w:r>
      <w:r w:rsidR="004B3750">
        <w:rPr>
          <w:snapToGrid w:val="0"/>
          <w:lang w:val="da-DK"/>
        </w:rPr>
        <w:noBreakHyphen/>
      </w:r>
      <w:r w:rsidRPr="001278B6">
        <w:rPr>
          <w:snapToGrid w:val="0"/>
          <w:lang w:val="da-DK"/>
        </w:rPr>
        <w:t xml:space="preserve">times infusion en gang ugentligt i tre ud af fire uger) eller i kombination med </w:t>
      </w:r>
      <w:r w:rsidR="00267822">
        <w:rPr>
          <w:snapToGrid w:val="0"/>
          <w:lang w:val="da-DK"/>
        </w:rPr>
        <w:t>bevacizumab</w:t>
      </w:r>
      <w:r w:rsidRPr="001278B6">
        <w:rPr>
          <w:snapToGrid w:val="0"/>
          <w:lang w:val="da-DK"/>
        </w:rPr>
        <w:t xml:space="preserve"> (10</w:t>
      </w:r>
      <w:r w:rsidR="00D003C8">
        <w:rPr>
          <w:snapToGrid w:val="0"/>
          <w:lang w:val="da-DK"/>
        </w:rPr>
        <w:t> mg</w:t>
      </w:r>
      <w:r w:rsidRPr="001278B6">
        <w:rPr>
          <w:snapToGrid w:val="0"/>
          <w:lang w:val="da-DK"/>
        </w:rPr>
        <w:t xml:space="preserve">/kg </w:t>
      </w:r>
      <w:r w:rsidR="00247342">
        <w:rPr>
          <w:snapToGrid w:val="0"/>
          <w:lang w:val="da-DK"/>
        </w:rPr>
        <w:t>administreret</w:t>
      </w:r>
      <w:r w:rsidRPr="001278B6">
        <w:rPr>
          <w:snapToGrid w:val="0"/>
          <w:lang w:val="da-DK"/>
        </w:rPr>
        <w:t xml:space="preserve"> som intravenøs infusion hver 2. uge). Tidligere hormonbehandling af metastisk sygdom var tilladt. Adjuvant taxanbehandling var kun tilladt, hvis den var afsluttet mindst 12 måneder før inklusion i studiet. Af de 722</w:t>
      </w:r>
      <w:r w:rsidR="00C56DAC">
        <w:rPr>
          <w:snapToGrid w:val="0"/>
          <w:lang w:val="da-DK"/>
        </w:rPr>
        <w:t> </w:t>
      </w:r>
      <w:r w:rsidRPr="001278B6">
        <w:rPr>
          <w:snapToGrid w:val="0"/>
          <w:lang w:val="da-DK"/>
        </w:rPr>
        <w:t>patienter i studiet havde hovedparten HER2</w:t>
      </w:r>
      <w:r w:rsidR="004B3750">
        <w:rPr>
          <w:snapToGrid w:val="0"/>
          <w:lang w:val="da-DK"/>
        </w:rPr>
        <w:noBreakHyphen/>
      </w:r>
      <w:r w:rsidRPr="001278B6">
        <w:rPr>
          <w:snapToGrid w:val="0"/>
          <w:lang w:val="da-DK"/>
        </w:rPr>
        <w:t>negativ sygdom (90 %), mens der var et lille antal patienter med ukendt (8 %) eller bekræftet HER2</w:t>
      </w:r>
      <w:r w:rsidR="004B3750">
        <w:rPr>
          <w:snapToGrid w:val="0"/>
          <w:lang w:val="da-DK"/>
        </w:rPr>
        <w:noBreakHyphen/>
      </w:r>
      <w:r w:rsidRPr="001278B6">
        <w:rPr>
          <w:snapToGrid w:val="0"/>
          <w:lang w:val="da-DK"/>
        </w:rPr>
        <w:t>positiv status (2 %), som tidligere var blevet behandlet med eller som blev betragtet som uegnede til trastuzumabbehandling. Desuden havde 65 % af patienterne fået adjuverende kemoterapi, herunder 19 % forudgående taxaner og 49 % forudgående antracykliner. Patienter med metastaser til centralnervesystemet, herunder tidligere behandlede eller resekterede hjernelæsioner, blev ekskluderet.</w:t>
      </w:r>
    </w:p>
    <w:p w14:paraId="5A97922F" w14:textId="77777777" w:rsidR="003563EF" w:rsidRPr="001278B6" w:rsidRDefault="003563EF" w:rsidP="001278B6">
      <w:pPr>
        <w:pStyle w:val="a3"/>
        <w:widowControl/>
        <w:adjustRightInd w:val="0"/>
        <w:snapToGrid w:val="0"/>
        <w:rPr>
          <w:snapToGrid w:val="0"/>
          <w:lang w:val="da-DK"/>
        </w:rPr>
      </w:pPr>
    </w:p>
    <w:p w14:paraId="03D00E16"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studie E2100 blev patienterne behandlet indtil sygdomsprogression. I situationer, hvor tidlig afbrydelse af kemoterapi var påkrævet, fortsatte behandlingen med </w:t>
      </w:r>
      <w:r w:rsidR="00267822">
        <w:rPr>
          <w:snapToGrid w:val="0"/>
          <w:lang w:val="da-DK"/>
        </w:rPr>
        <w:t>bevacizumab</w:t>
      </w:r>
      <w:r w:rsidRPr="001278B6">
        <w:rPr>
          <w:snapToGrid w:val="0"/>
          <w:lang w:val="da-DK"/>
        </w:rPr>
        <w:t xml:space="preserve"> som enkeltstof indtil sygdomsprogression. Patientkarakteristika var sammenlignelige på tværs af armene i studiet. Det primære endepunkt for dette studie var PFS, baseret på studieinvestigatorernes vurdering af sygdomsprogression. En uafhængig gennemgang af det primære endepunkt blev også udført. Resultaterne af dette studie vises i tabel 10.</w:t>
      </w:r>
    </w:p>
    <w:p w14:paraId="5FB922E1" w14:textId="77777777" w:rsidR="003563EF" w:rsidRPr="001278B6" w:rsidRDefault="003563EF" w:rsidP="001278B6">
      <w:pPr>
        <w:pStyle w:val="a3"/>
        <w:widowControl/>
        <w:adjustRightInd w:val="0"/>
        <w:snapToGrid w:val="0"/>
        <w:rPr>
          <w:snapToGrid w:val="0"/>
          <w:lang w:val="da-DK"/>
        </w:rPr>
      </w:pPr>
    </w:p>
    <w:p w14:paraId="5C7BF71D" w14:textId="77777777" w:rsidR="003563EF" w:rsidRPr="00765991" w:rsidRDefault="00473235" w:rsidP="00765991">
      <w:pPr>
        <w:ind w:left="1134" w:hanging="1134"/>
        <w:rPr>
          <w:b/>
          <w:bCs/>
          <w:snapToGrid w:val="0"/>
          <w:lang w:val="da-DK"/>
        </w:rPr>
      </w:pPr>
      <w:r w:rsidRPr="00765991">
        <w:rPr>
          <w:b/>
          <w:bCs/>
          <w:snapToGrid w:val="0"/>
          <w:lang w:val="da-DK"/>
        </w:rPr>
        <w:t>Tabel 10.</w:t>
      </w:r>
      <w:r w:rsidRPr="00765991">
        <w:rPr>
          <w:b/>
          <w:bCs/>
          <w:snapToGrid w:val="0"/>
          <w:lang w:val="da-DK"/>
        </w:rPr>
        <w:tab/>
        <w:t>Effektresultater fra studie E2100</w:t>
      </w:r>
    </w:p>
    <w:p w14:paraId="1AC40A86"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1493"/>
        <w:gridCol w:w="1865"/>
        <w:gridCol w:w="1492"/>
        <w:gridCol w:w="1865"/>
      </w:tblGrid>
      <w:tr w:rsidR="003563EF" w:rsidRPr="005476B6" w14:paraId="0B88B4B8" w14:textId="77777777" w:rsidTr="000262BC">
        <w:tc>
          <w:tcPr>
            <w:tcW w:w="8748" w:type="dxa"/>
            <w:gridSpan w:val="5"/>
          </w:tcPr>
          <w:p w14:paraId="6DD47B3D" w14:textId="77777777" w:rsidR="003563EF" w:rsidRPr="001278B6" w:rsidRDefault="00473235" w:rsidP="00F466A3">
            <w:pPr>
              <w:pStyle w:val="TableParagraph"/>
              <w:keepNext/>
              <w:keepLines/>
              <w:widowControl/>
              <w:adjustRightInd w:val="0"/>
              <w:snapToGrid w:val="0"/>
              <w:rPr>
                <w:b/>
                <w:bCs/>
                <w:snapToGrid w:val="0"/>
                <w:sz w:val="20"/>
                <w:lang w:val="da-DK"/>
              </w:rPr>
            </w:pPr>
            <w:r w:rsidRPr="001278B6">
              <w:rPr>
                <w:b/>
                <w:bCs/>
                <w:snapToGrid w:val="0"/>
                <w:sz w:val="20"/>
                <w:lang w:val="da-DK"/>
              </w:rPr>
              <w:t>Progressionsfri overlevelse</w:t>
            </w:r>
          </w:p>
        </w:tc>
      </w:tr>
      <w:tr w:rsidR="003563EF" w:rsidRPr="005476B6" w14:paraId="59D3D31C" w14:textId="77777777" w:rsidTr="001278B6">
        <w:tc>
          <w:tcPr>
            <w:tcW w:w="2268" w:type="dxa"/>
          </w:tcPr>
          <w:p w14:paraId="1689BD81" w14:textId="77777777" w:rsidR="003563EF" w:rsidRPr="001278B6" w:rsidRDefault="003563EF" w:rsidP="001278B6">
            <w:pPr>
              <w:pStyle w:val="TableParagraph"/>
              <w:keepNext/>
              <w:keepLines/>
              <w:widowControl/>
              <w:adjustRightInd w:val="0"/>
              <w:snapToGrid w:val="0"/>
              <w:rPr>
                <w:snapToGrid w:val="0"/>
                <w:sz w:val="20"/>
                <w:lang w:val="da-DK"/>
              </w:rPr>
            </w:pPr>
          </w:p>
        </w:tc>
        <w:tc>
          <w:tcPr>
            <w:tcW w:w="3240" w:type="dxa"/>
            <w:gridSpan w:val="2"/>
          </w:tcPr>
          <w:p w14:paraId="3D37BC5B"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Investigators vurdering*</w:t>
            </w:r>
          </w:p>
        </w:tc>
        <w:tc>
          <w:tcPr>
            <w:tcW w:w="3240" w:type="dxa"/>
            <w:gridSpan w:val="2"/>
          </w:tcPr>
          <w:p w14:paraId="1E41B545"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IRF vurdering</w:t>
            </w:r>
          </w:p>
        </w:tc>
      </w:tr>
      <w:tr w:rsidR="003563EF" w:rsidRPr="005476B6" w14:paraId="6D80D577" w14:textId="77777777" w:rsidTr="000262BC">
        <w:tc>
          <w:tcPr>
            <w:tcW w:w="2268" w:type="dxa"/>
          </w:tcPr>
          <w:p w14:paraId="2E56B81C" w14:textId="77777777" w:rsidR="003563EF" w:rsidRPr="001278B6" w:rsidRDefault="003563EF" w:rsidP="001278B6">
            <w:pPr>
              <w:pStyle w:val="TableParagraph"/>
              <w:keepNext/>
              <w:keepLines/>
              <w:widowControl/>
              <w:adjustRightInd w:val="0"/>
              <w:snapToGrid w:val="0"/>
              <w:rPr>
                <w:snapToGrid w:val="0"/>
                <w:sz w:val="20"/>
                <w:lang w:val="da-DK"/>
              </w:rPr>
            </w:pPr>
          </w:p>
        </w:tc>
        <w:tc>
          <w:tcPr>
            <w:tcW w:w="1440" w:type="dxa"/>
          </w:tcPr>
          <w:p w14:paraId="4FE1C2F8" w14:textId="77777777" w:rsidR="00F24904" w:rsidRDefault="00473235" w:rsidP="00C56DAC">
            <w:pPr>
              <w:pStyle w:val="TableParagraph"/>
              <w:keepNext/>
              <w:keepLines/>
              <w:widowControl/>
              <w:adjustRightInd w:val="0"/>
              <w:snapToGrid w:val="0"/>
              <w:jc w:val="center"/>
              <w:rPr>
                <w:snapToGrid w:val="0"/>
                <w:sz w:val="20"/>
                <w:lang w:val="da-DK"/>
              </w:rPr>
            </w:pPr>
            <w:r w:rsidRPr="001278B6">
              <w:rPr>
                <w:snapToGrid w:val="0"/>
                <w:sz w:val="20"/>
                <w:lang w:val="da-DK"/>
              </w:rPr>
              <w:t xml:space="preserve">Paclitaxel </w:t>
            </w:r>
          </w:p>
          <w:p w14:paraId="230171C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(n=354)</w:t>
            </w:r>
          </w:p>
        </w:tc>
        <w:tc>
          <w:tcPr>
            <w:tcW w:w="1800" w:type="dxa"/>
          </w:tcPr>
          <w:p w14:paraId="09776073"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Paclitaxel/</w:t>
            </w:r>
            <w:r w:rsidR="00267822">
              <w:rPr>
                <w:snapToGrid w:val="0"/>
                <w:sz w:val="20"/>
                <w:lang w:val="da-DK"/>
              </w:rPr>
              <w:t>Bevacizumab</w:t>
            </w:r>
          </w:p>
          <w:p w14:paraId="43BBDE3D"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(n=368)</w:t>
            </w:r>
          </w:p>
        </w:tc>
        <w:tc>
          <w:tcPr>
            <w:tcW w:w="1440" w:type="dxa"/>
          </w:tcPr>
          <w:p w14:paraId="1949A86C" w14:textId="77777777" w:rsidR="00F24904" w:rsidRDefault="00473235" w:rsidP="00C56DAC">
            <w:pPr>
              <w:pStyle w:val="TableParagraph"/>
              <w:keepNext/>
              <w:keepLines/>
              <w:widowControl/>
              <w:adjustRightInd w:val="0"/>
              <w:snapToGrid w:val="0"/>
              <w:jc w:val="center"/>
              <w:rPr>
                <w:snapToGrid w:val="0"/>
                <w:sz w:val="20"/>
                <w:lang w:val="da-DK"/>
              </w:rPr>
            </w:pPr>
            <w:r w:rsidRPr="001278B6">
              <w:rPr>
                <w:snapToGrid w:val="0"/>
                <w:sz w:val="20"/>
                <w:lang w:val="da-DK"/>
              </w:rPr>
              <w:t xml:space="preserve">Paclitaxel </w:t>
            </w:r>
          </w:p>
          <w:p w14:paraId="39CEFE0B"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(n=354)</w:t>
            </w:r>
          </w:p>
        </w:tc>
        <w:tc>
          <w:tcPr>
            <w:tcW w:w="1800" w:type="dxa"/>
          </w:tcPr>
          <w:p w14:paraId="54F4B86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Paclitaxel/</w:t>
            </w:r>
            <w:r w:rsidR="00267822">
              <w:rPr>
                <w:snapToGrid w:val="0"/>
                <w:sz w:val="20"/>
                <w:lang w:val="da-DK"/>
              </w:rPr>
              <w:t>Bevacizumab</w:t>
            </w:r>
          </w:p>
          <w:p w14:paraId="4B53EB90"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(n=368)</w:t>
            </w:r>
          </w:p>
        </w:tc>
      </w:tr>
      <w:tr w:rsidR="003563EF" w:rsidRPr="005476B6" w14:paraId="42A6C48E" w14:textId="77777777" w:rsidTr="000262BC">
        <w:tc>
          <w:tcPr>
            <w:tcW w:w="2268" w:type="dxa"/>
          </w:tcPr>
          <w:p w14:paraId="028A347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Median PFS</w:t>
            </w:r>
            <w:r w:rsidR="004A1C34">
              <w:rPr>
                <w:snapToGrid w:val="0"/>
                <w:sz w:val="20"/>
                <w:lang w:val="da-DK"/>
              </w:rPr>
              <w:t xml:space="preserve"> </w:t>
            </w:r>
            <w:r w:rsidRPr="001278B6">
              <w:rPr>
                <w:snapToGrid w:val="0"/>
                <w:sz w:val="20"/>
                <w:lang w:val="da-DK"/>
              </w:rPr>
              <w:t>(måneder)</w:t>
            </w:r>
          </w:p>
        </w:tc>
        <w:tc>
          <w:tcPr>
            <w:tcW w:w="1440" w:type="dxa"/>
          </w:tcPr>
          <w:p w14:paraId="0B0C557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5,8</w:t>
            </w:r>
          </w:p>
        </w:tc>
        <w:tc>
          <w:tcPr>
            <w:tcW w:w="1800" w:type="dxa"/>
          </w:tcPr>
          <w:p w14:paraId="73365BB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11,4</w:t>
            </w:r>
          </w:p>
        </w:tc>
        <w:tc>
          <w:tcPr>
            <w:tcW w:w="1440" w:type="dxa"/>
          </w:tcPr>
          <w:p w14:paraId="076A5F6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5,8</w:t>
            </w:r>
          </w:p>
        </w:tc>
        <w:tc>
          <w:tcPr>
            <w:tcW w:w="1800" w:type="dxa"/>
          </w:tcPr>
          <w:p w14:paraId="16D9F55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11,3</w:t>
            </w:r>
          </w:p>
        </w:tc>
      </w:tr>
      <w:tr w:rsidR="003563EF" w:rsidRPr="005476B6" w14:paraId="064E055D" w14:textId="77777777" w:rsidTr="000262BC">
        <w:tc>
          <w:tcPr>
            <w:tcW w:w="2268" w:type="dxa"/>
          </w:tcPr>
          <w:p w14:paraId="4423ED11" w14:textId="77777777" w:rsidR="00015B05" w:rsidRDefault="00473235" w:rsidP="001278B6">
            <w:pPr>
              <w:pStyle w:val="TableParagraph"/>
              <w:widowControl/>
              <w:adjustRightInd w:val="0"/>
              <w:snapToGrid w:val="0"/>
              <w:jc w:val="center"/>
              <w:rPr>
                <w:snapToGrid w:val="0"/>
                <w:sz w:val="20"/>
                <w:lang w:val="da-DK"/>
              </w:rPr>
            </w:pPr>
            <w:r w:rsidRPr="00F466A3">
              <w:rPr>
                <w:iCs/>
                <w:snapToGrid w:val="0"/>
                <w:sz w:val="20"/>
                <w:lang w:val="da-DK"/>
              </w:rPr>
              <w:t xml:space="preserve">Hazard </w:t>
            </w:r>
            <w:r w:rsidRPr="00015B05">
              <w:rPr>
                <w:iCs/>
                <w:snapToGrid w:val="0"/>
                <w:sz w:val="20"/>
                <w:lang w:val="da-DK"/>
              </w:rPr>
              <w:t>ratio</w:t>
            </w:r>
          </w:p>
          <w:p w14:paraId="12CF5846" w14:textId="5B5FEA20"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(95 % konfidensinterval)</w:t>
            </w:r>
          </w:p>
        </w:tc>
        <w:tc>
          <w:tcPr>
            <w:tcW w:w="3240" w:type="dxa"/>
            <w:gridSpan w:val="2"/>
          </w:tcPr>
          <w:p w14:paraId="377A435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0,421</w:t>
            </w:r>
          </w:p>
          <w:p w14:paraId="6876D04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(0,343</w:t>
            </w:r>
            <w:r w:rsidR="004B3750">
              <w:rPr>
                <w:snapToGrid w:val="0"/>
                <w:sz w:val="20"/>
                <w:lang w:val="da-DK"/>
              </w:rPr>
              <w:noBreakHyphen/>
            </w:r>
            <w:r w:rsidRPr="001278B6">
              <w:rPr>
                <w:snapToGrid w:val="0"/>
                <w:sz w:val="20"/>
                <w:lang w:val="da-DK"/>
              </w:rPr>
              <w:t>0,516)</w:t>
            </w:r>
          </w:p>
        </w:tc>
        <w:tc>
          <w:tcPr>
            <w:tcW w:w="3240" w:type="dxa"/>
            <w:gridSpan w:val="2"/>
          </w:tcPr>
          <w:p w14:paraId="3121F66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0,483</w:t>
            </w:r>
          </w:p>
          <w:p w14:paraId="7EF7DFB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(0,385</w:t>
            </w:r>
            <w:r w:rsidR="004B3750">
              <w:rPr>
                <w:snapToGrid w:val="0"/>
                <w:sz w:val="20"/>
                <w:lang w:val="da-DK"/>
              </w:rPr>
              <w:noBreakHyphen/>
            </w:r>
            <w:r w:rsidRPr="001278B6">
              <w:rPr>
                <w:snapToGrid w:val="0"/>
                <w:sz w:val="20"/>
                <w:lang w:val="da-DK"/>
              </w:rPr>
              <w:t>0,607)</w:t>
            </w:r>
          </w:p>
        </w:tc>
      </w:tr>
      <w:tr w:rsidR="003563EF" w:rsidRPr="005476B6" w14:paraId="4D28DCB4" w14:textId="77777777" w:rsidTr="000262BC">
        <w:tc>
          <w:tcPr>
            <w:tcW w:w="2268" w:type="dxa"/>
          </w:tcPr>
          <w:p w14:paraId="7A3075C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3240" w:type="dxa"/>
            <w:gridSpan w:val="2"/>
          </w:tcPr>
          <w:p w14:paraId="30227D6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 0,0001</w:t>
            </w:r>
          </w:p>
        </w:tc>
        <w:tc>
          <w:tcPr>
            <w:tcW w:w="3240" w:type="dxa"/>
            <w:gridSpan w:val="2"/>
          </w:tcPr>
          <w:p w14:paraId="3632927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 0,0001</w:t>
            </w:r>
          </w:p>
        </w:tc>
      </w:tr>
      <w:tr w:rsidR="003563EF" w:rsidRPr="007E69C7" w14:paraId="48B8A591" w14:textId="77777777" w:rsidTr="001278B6">
        <w:tc>
          <w:tcPr>
            <w:tcW w:w="8748" w:type="dxa"/>
            <w:gridSpan w:val="5"/>
          </w:tcPr>
          <w:p w14:paraId="33A7D58F" w14:textId="77777777" w:rsidR="003563EF" w:rsidRPr="00F466A3" w:rsidRDefault="00473235" w:rsidP="00F466A3">
            <w:pPr>
              <w:pStyle w:val="TableParagraph"/>
              <w:widowControl/>
              <w:adjustRightInd w:val="0"/>
              <w:snapToGrid w:val="0"/>
              <w:rPr>
                <w:b/>
                <w:bCs/>
                <w:snapToGrid w:val="0"/>
                <w:sz w:val="20"/>
                <w:lang w:val="da-DK"/>
              </w:rPr>
            </w:pPr>
            <w:r w:rsidRPr="00F466A3">
              <w:rPr>
                <w:b/>
                <w:bCs/>
                <w:snapToGrid w:val="0"/>
                <w:sz w:val="20"/>
                <w:lang w:val="da-DK"/>
              </w:rPr>
              <w:t>Responsrater (for patienter med målbar sygdom)</w:t>
            </w:r>
          </w:p>
        </w:tc>
      </w:tr>
      <w:tr w:rsidR="003563EF" w:rsidRPr="005476B6" w14:paraId="1C40F47D" w14:textId="77777777" w:rsidTr="000262BC">
        <w:tc>
          <w:tcPr>
            <w:tcW w:w="2268" w:type="dxa"/>
          </w:tcPr>
          <w:p w14:paraId="6EB4849D" w14:textId="77777777" w:rsidR="003563EF" w:rsidRPr="001278B6" w:rsidRDefault="003563EF" w:rsidP="001278B6">
            <w:pPr>
              <w:pStyle w:val="TableParagraph"/>
              <w:widowControl/>
              <w:adjustRightInd w:val="0"/>
              <w:snapToGrid w:val="0"/>
              <w:rPr>
                <w:snapToGrid w:val="0"/>
                <w:sz w:val="20"/>
                <w:lang w:val="da-DK"/>
              </w:rPr>
            </w:pPr>
          </w:p>
        </w:tc>
        <w:tc>
          <w:tcPr>
            <w:tcW w:w="3240" w:type="dxa"/>
            <w:gridSpan w:val="2"/>
          </w:tcPr>
          <w:p w14:paraId="1E506C2E" w14:textId="77777777" w:rsidR="003563EF" w:rsidRPr="00F466A3" w:rsidRDefault="00473235" w:rsidP="001278B6">
            <w:pPr>
              <w:pStyle w:val="TableParagraph"/>
              <w:widowControl/>
              <w:adjustRightInd w:val="0"/>
              <w:snapToGrid w:val="0"/>
              <w:jc w:val="center"/>
              <w:rPr>
                <w:b/>
                <w:bCs/>
                <w:snapToGrid w:val="0"/>
                <w:sz w:val="20"/>
                <w:lang w:val="da-DK"/>
              </w:rPr>
            </w:pPr>
            <w:r w:rsidRPr="00F466A3">
              <w:rPr>
                <w:b/>
                <w:bCs/>
                <w:snapToGrid w:val="0"/>
                <w:sz w:val="20"/>
                <w:lang w:val="da-DK"/>
              </w:rPr>
              <w:t>Investigator vurdering</w:t>
            </w:r>
          </w:p>
        </w:tc>
        <w:tc>
          <w:tcPr>
            <w:tcW w:w="3240" w:type="dxa"/>
            <w:gridSpan w:val="2"/>
          </w:tcPr>
          <w:p w14:paraId="0E52DEFB" w14:textId="77777777" w:rsidR="003563EF" w:rsidRPr="00F466A3" w:rsidRDefault="00473235" w:rsidP="001278B6">
            <w:pPr>
              <w:pStyle w:val="TableParagraph"/>
              <w:widowControl/>
              <w:adjustRightInd w:val="0"/>
              <w:snapToGrid w:val="0"/>
              <w:jc w:val="center"/>
              <w:rPr>
                <w:b/>
                <w:bCs/>
                <w:snapToGrid w:val="0"/>
                <w:sz w:val="20"/>
                <w:lang w:val="da-DK"/>
              </w:rPr>
            </w:pPr>
            <w:r w:rsidRPr="00F466A3">
              <w:rPr>
                <w:b/>
                <w:bCs/>
                <w:snapToGrid w:val="0"/>
                <w:sz w:val="20"/>
                <w:lang w:val="da-DK"/>
              </w:rPr>
              <w:t>IRF vurdering</w:t>
            </w:r>
          </w:p>
        </w:tc>
      </w:tr>
      <w:tr w:rsidR="003563EF" w:rsidRPr="005476B6" w14:paraId="52403E1D" w14:textId="77777777" w:rsidTr="000262BC">
        <w:tc>
          <w:tcPr>
            <w:tcW w:w="2268" w:type="dxa"/>
          </w:tcPr>
          <w:p w14:paraId="02F026D2" w14:textId="77777777" w:rsidR="003563EF" w:rsidRPr="001278B6" w:rsidRDefault="003563EF" w:rsidP="001278B6">
            <w:pPr>
              <w:pStyle w:val="TableParagraph"/>
              <w:widowControl/>
              <w:adjustRightInd w:val="0"/>
              <w:snapToGrid w:val="0"/>
              <w:rPr>
                <w:snapToGrid w:val="0"/>
                <w:sz w:val="20"/>
                <w:lang w:val="da-DK"/>
              </w:rPr>
            </w:pPr>
          </w:p>
        </w:tc>
        <w:tc>
          <w:tcPr>
            <w:tcW w:w="1440" w:type="dxa"/>
          </w:tcPr>
          <w:p w14:paraId="520DFDBC" w14:textId="77777777" w:rsidR="00F24904" w:rsidRDefault="00473235">
            <w:pPr>
              <w:pStyle w:val="TableParagraph"/>
              <w:widowControl/>
              <w:adjustRightInd w:val="0"/>
              <w:snapToGrid w:val="0"/>
              <w:jc w:val="center"/>
              <w:rPr>
                <w:snapToGrid w:val="0"/>
                <w:sz w:val="20"/>
                <w:lang w:val="da-DK"/>
              </w:rPr>
            </w:pPr>
            <w:r w:rsidRPr="001278B6">
              <w:rPr>
                <w:snapToGrid w:val="0"/>
                <w:sz w:val="20"/>
                <w:lang w:val="da-DK"/>
              </w:rPr>
              <w:t xml:space="preserve">Paclitaxel </w:t>
            </w:r>
          </w:p>
          <w:p w14:paraId="7DCBFF0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(n=273)</w:t>
            </w:r>
          </w:p>
        </w:tc>
        <w:tc>
          <w:tcPr>
            <w:tcW w:w="1800" w:type="dxa"/>
          </w:tcPr>
          <w:p w14:paraId="16035EFA" w14:textId="77777777" w:rsidR="00F24904" w:rsidRDefault="00473235" w:rsidP="00F24904">
            <w:pPr>
              <w:pStyle w:val="TableParagraph"/>
              <w:widowControl/>
              <w:adjustRightInd w:val="0"/>
              <w:snapToGrid w:val="0"/>
              <w:jc w:val="center"/>
              <w:rPr>
                <w:snapToGrid w:val="0"/>
                <w:sz w:val="20"/>
                <w:lang w:val="da-DK"/>
              </w:rPr>
            </w:pPr>
            <w:r w:rsidRPr="001278B6">
              <w:rPr>
                <w:snapToGrid w:val="0"/>
                <w:sz w:val="20"/>
                <w:lang w:val="da-DK"/>
              </w:rPr>
              <w:t>Paclitaxel/</w:t>
            </w:r>
            <w:r w:rsidR="00267822">
              <w:rPr>
                <w:snapToGrid w:val="0"/>
                <w:sz w:val="20"/>
                <w:lang w:val="da-DK"/>
              </w:rPr>
              <w:t>Bevacizumab</w:t>
            </w:r>
            <w:r w:rsidRPr="001278B6">
              <w:rPr>
                <w:snapToGrid w:val="0"/>
                <w:sz w:val="20"/>
                <w:lang w:val="da-DK"/>
              </w:rPr>
              <w:t xml:space="preserve"> </w:t>
            </w:r>
          </w:p>
          <w:p w14:paraId="1A5F4F8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(n=252)</w:t>
            </w:r>
          </w:p>
        </w:tc>
        <w:tc>
          <w:tcPr>
            <w:tcW w:w="1440" w:type="dxa"/>
          </w:tcPr>
          <w:p w14:paraId="557B8693" w14:textId="77777777" w:rsidR="00F24904" w:rsidRDefault="00473235">
            <w:pPr>
              <w:pStyle w:val="TableParagraph"/>
              <w:widowControl/>
              <w:adjustRightInd w:val="0"/>
              <w:snapToGrid w:val="0"/>
              <w:jc w:val="center"/>
              <w:rPr>
                <w:snapToGrid w:val="0"/>
                <w:sz w:val="20"/>
                <w:lang w:val="da-DK"/>
              </w:rPr>
            </w:pPr>
            <w:r w:rsidRPr="001278B6">
              <w:rPr>
                <w:snapToGrid w:val="0"/>
                <w:sz w:val="20"/>
                <w:lang w:val="da-DK"/>
              </w:rPr>
              <w:t xml:space="preserve">Paclitaxel </w:t>
            </w:r>
          </w:p>
          <w:p w14:paraId="7EE691A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(n=243)</w:t>
            </w:r>
          </w:p>
        </w:tc>
        <w:tc>
          <w:tcPr>
            <w:tcW w:w="1800" w:type="dxa"/>
          </w:tcPr>
          <w:p w14:paraId="6E6E0B0E" w14:textId="77777777" w:rsidR="00F24904" w:rsidRDefault="00473235" w:rsidP="00F24904">
            <w:pPr>
              <w:pStyle w:val="TableParagraph"/>
              <w:widowControl/>
              <w:adjustRightInd w:val="0"/>
              <w:snapToGrid w:val="0"/>
              <w:jc w:val="center"/>
              <w:rPr>
                <w:snapToGrid w:val="0"/>
                <w:sz w:val="20"/>
                <w:lang w:val="da-DK"/>
              </w:rPr>
            </w:pPr>
            <w:r w:rsidRPr="001278B6">
              <w:rPr>
                <w:snapToGrid w:val="0"/>
                <w:sz w:val="20"/>
                <w:lang w:val="da-DK"/>
              </w:rPr>
              <w:t>Paclitaxel/</w:t>
            </w:r>
            <w:r w:rsidR="00267822">
              <w:rPr>
                <w:snapToGrid w:val="0"/>
                <w:sz w:val="20"/>
                <w:lang w:val="da-DK"/>
              </w:rPr>
              <w:t>Bevacizumab</w:t>
            </w:r>
            <w:r w:rsidRPr="001278B6">
              <w:rPr>
                <w:snapToGrid w:val="0"/>
                <w:sz w:val="20"/>
                <w:lang w:val="da-DK"/>
              </w:rPr>
              <w:t xml:space="preserve"> </w:t>
            </w:r>
          </w:p>
          <w:p w14:paraId="0EAB073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(n=229)</w:t>
            </w:r>
          </w:p>
        </w:tc>
      </w:tr>
      <w:tr w:rsidR="003563EF" w:rsidRPr="005476B6" w14:paraId="7A96BF4F" w14:textId="77777777" w:rsidTr="000262BC">
        <w:tc>
          <w:tcPr>
            <w:tcW w:w="2268" w:type="dxa"/>
          </w:tcPr>
          <w:p w14:paraId="059BD1C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af patienter med</w:t>
            </w:r>
            <w:r w:rsidR="000E5CBC">
              <w:rPr>
                <w:snapToGrid w:val="0"/>
                <w:sz w:val="20"/>
                <w:lang w:val="da-DK"/>
              </w:rPr>
              <w:t xml:space="preserve"> </w:t>
            </w:r>
            <w:r w:rsidRPr="001278B6">
              <w:rPr>
                <w:snapToGrid w:val="0"/>
                <w:sz w:val="20"/>
                <w:lang w:val="da-DK"/>
              </w:rPr>
              <w:t>objektivt respons</w:t>
            </w:r>
          </w:p>
        </w:tc>
        <w:tc>
          <w:tcPr>
            <w:tcW w:w="1440" w:type="dxa"/>
          </w:tcPr>
          <w:p w14:paraId="45CB80B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23,4</w:t>
            </w:r>
          </w:p>
        </w:tc>
        <w:tc>
          <w:tcPr>
            <w:tcW w:w="1800" w:type="dxa"/>
          </w:tcPr>
          <w:p w14:paraId="2B15692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48,0</w:t>
            </w:r>
          </w:p>
        </w:tc>
        <w:tc>
          <w:tcPr>
            <w:tcW w:w="1440" w:type="dxa"/>
          </w:tcPr>
          <w:p w14:paraId="6F710A3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22,2</w:t>
            </w:r>
          </w:p>
        </w:tc>
        <w:tc>
          <w:tcPr>
            <w:tcW w:w="1800" w:type="dxa"/>
          </w:tcPr>
          <w:p w14:paraId="5EA1A72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49,8</w:t>
            </w:r>
          </w:p>
        </w:tc>
      </w:tr>
      <w:tr w:rsidR="003563EF" w:rsidRPr="005476B6" w14:paraId="5A9EA33C" w14:textId="77777777" w:rsidTr="000262BC">
        <w:tc>
          <w:tcPr>
            <w:tcW w:w="2268" w:type="dxa"/>
          </w:tcPr>
          <w:p w14:paraId="04363DB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3240" w:type="dxa"/>
            <w:gridSpan w:val="2"/>
          </w:tcPr>
          <w:p w14:paraId="2FEABE2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 0,0001</w:t>
            </w:r>
          </w:p>
        </w:tc>
        <w:tc>
          <w:tcPr>
            <w:tcW w:w="3240" w:type="dxa"/>
            <w:gridSpan w:val="2"/>
          </w:tcPr>
          <w:p w14:paraId="5B8D666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 0,0001</w:t>
            </w:r>
          </w:p>
        </w:tc>
      </w:tr>
      <w:tr w:rsidR="003563EF" w:rsidRPr="005476B6" w14:paraId="4B0A29BE" w14:textId="77777777" w:rsidTr="000262BC">
        <w:tc>
          <w:tcPr>
            <w:tcW w:w="2268" w:type="dxa"/>
          </w:tcPr>
          <w:p w14:paraId="12E90D84" w14:textId="77777777" w:rsidR="003563EF" w:rsidRPr="001278B6" w:rsidRDefault="003563EF" w:rsidP="001278B6">
            <w:pPr>
              <w:pStyle w:val="TableParagraph"/>
              <w:widowControl/>
              <w:adjustRightInd w:val="0"/>
              <w:snapToGrid w:val="0"/>
              <w:rPr>
                <w:snapToGrid w:val="0"/>
                <w:sz w:val="20"/>
                <w:lang w:val="da-DK"/>
              </w:rPr>
            </w:pPr>
          </w:p>
        </w:tc>
        <w:tc>
          <w:tcPr>
            <w:tcW w:w="3240" w:type="dxa"/>
            <w:gridSpan w:val="2"/>
          </w:tcPr>
          <w:p w14:paraId="11B836D4" w14:textId="77777777" w:rsidR="003563EF" w:rsidRPr="001278B6" w:rsidRDefault="003563EF" w:rsidP="001278B6">
            <w:pPr>
              <w:pStyle w:val="TableParagraph"/>
              <w:widowControl/>
              <w:adjustRightInd w:val="0"/>
              <w:snapToGrid w:val="0"/>
              <w:rPr>
                <w:snapToGrid w:val="0"/>
                <w:sz w:val="20"/>
                <w:lang w:val="da-DK"/>
              </w:rPr>
            </w:pPr>
          </w:p>
        </w:tc>
        <w:tc>
          <w:tcPr>
            <w:tcW w:w="3240" w:type="dxa"/>
            <w:gridSpan w:val="2"/>
          </w:tcPr>
          <w:p w14:paraId="631C2D7E" w14:textId="77777777" w:rsidR="003563EF" w:rsidRPr="001278B6" w:rsidRDefault="003563EF" w:rsidP="001278B6">
            <w:pPr>
              <w:pStyle w:val="TableParagraph"/>
              <w:widowControl/>
              <w:adjustRightInd w:val="0"/>
              <w:snapToGrid w:val="0"/>
              <w:rPr>
                <w:snapToGrid w:val="0"/>
                <w:sz w:val="20"/>
                <w:lang w:val="da-DK"/>
              </w:rPr>
            </w:pPr>
          </w:p>
        </w:tc>
      </w:tr>
    </w:tbl>
    <w:p w14:paraId="5FF0383C" w14:textId="77777777" w:rsidR="003563EF" w:rsidRPr="001278B6" w:rsidRDefault="000262BC" w:rsidP="001278B6">
      <w:pPr>
        <w:pStyle w:val="a4"/>
        <w:widowControl/>
        <w:adjustRightInd w:val="0"/>
        <w:snapToGrid w:val="0"/>
        <w:ind w:left="0" w:firstLine="0"/>
        <w:rPr>
          <w:snapToGrid w:val="0"/>
          <w:sz w:val="18"/>
          <w:szCs w:val="18"/>
          <w:lang w:val="da-DK"/>
        </w:rPr>
      </w:pPr>
      <w:r w:rsidRPr="001278B6">
        <w:rPr>
          <w:snapToGrid w:val="0"/>
          <w:sz w:val="18"/>
          <w:szCs w:val="18"/>
          <w:lang w:val="da-DK"/>
        </w:rPr>
        <w:t>*</w:t>
      </w:r>
      <w:r w:rsidR="00473235" w:rsidRPr="001278B6">
        <w:rPr>
          <w:snapToGrid w:val="0"/>
          <w:sz w:val="18"/>
          <w:szCs w:val="18"/>
          <w:lang w:val="da-DK"/>
        </w:rPr>
        <w:t>primær analyse</w:t>
      </w:r>
    </w:p>
    <w:p w14:paraId="1DAA4A50" w14:textId="77777777" w:rsidR="003563EF" w:rsidRPr="001278B6" w:rsidRDefault="003563EF" w:rsidP="001278B6">
      <w:pPr>
        <w:pStyle w:val="a3"/>
        <w:widowControl/>
        <w:adjustRightInd w:val="0"/>
        <w:snapToGrid w:val="0"/>
        <w:rPr>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358"/>
        <w:gridCol w:w="3358"/>
      </w:tblGrid>
      <w:tr w:rsidR="003563EF" w:rsidRPr="005476B6" w14:paraId="59278BEE" w14:textId="77777777" w:rsidTr="000262BC">
        <w:tc>
          <w:tcPr>
            <w:tcW w:w="8748" w:type="dxa"/>
            <w:gridSpan w:val="3"/>
          </w:tcPr>
          <w:p w14:paraId="28F1A3D9" w14:textId="09A5C1D8" w:rsidR="003563EF" w:rsidRPr="001278B6" w:rsidRDefault="00473235" w:rsidP="001278B6">
            <w:pPr>
              <w:pStyle w:val="TableParagraph"/>
              <w:keepNext/>
              <w:keepLines/>
              <w:widowControl/>
              <w:adjustRightInd w:val="0"/>
              <w:snapToGrid w:val="0"/>
              <w:rPr>
                <w:b/>
                <w:bCs/>
                <w:snapToGrid w:val="0"/>
                <w:sz w:val="20"/>
                <w:lang w:val="da-DK"/>
              </w:rPr>
            </w:pPr>
            <w:r w:rsidRPr="001278B6">
              <w:rPr>
                <w:b/>
                <w:bCs/>
                <w:snapToGrid w:val="0"/>
                <w:sz w:val="20"/>
                <w:lang w:val="da-DK"/>
              </w:rPr>
              <w:t>Samlet overlevelse</w:t>
            </w:r>
          </w:p>
        </w:tc>
      </w:tr>
      <w:tr w:rsidR="003563EF" w:rsidRPr="005476B6" w14:paraId="5C1ED1F6" w14:textId="77777777" w:rsidTr="001278B6">
        <w:tc>
          <w:tcPr>
            <w:tcW w:w="2268" w:type="dxa"/>
          </w:tcPr>
          <w:p w14:paraId="5D3009F8" w14:textId="77777777" w:rsidR="003563EF" w:rsidRPr="001278B6" w:rsidRDefault="003563EF" w:rsidP="001278B6">
            <w:pPr>
              <w:pStyle w:val="TableParagraph"/>
              <w:keepNext/>
              <w:keepLines/>
              <w:widowControl/>
              <w:adjustRightInd w:val="0"/>
              <w:snapToGrid w:val="0"/>
              <w:rPr>
                <w:snapToGrid w:val="0"/>
                <w:sz w:val="20"/>
                <w:lang w:val="da-DK"/>
              </w:rPr>
            </w:pPr>
          </w:p>
        </w:tc>
        <w:tc>
          <w:tcPr>
            <w:tcW w:w="3240" w:type="dxa"/>
          </w:tcPr>
          <w:p w14:paraId="16FB4723" w14:textId="77777777" w:rsidR="00401466" w:rsidRDefault="00473235">
            <w:pPr>
              <w:pStyle w:val="TableParagraph"/>
              <w:keepNext/>
              <w:keepLines/>
              <w:widowControl/>
              <w:adjustRightInd w:val="0"/>
              <w:snapToGrid w:val="0"/>
              <w:jc w:val="center"/>
              <w:rPr>
                <w:snapToGrid w:val="0"/>
                <w:sz w:val="20"/>
                <w:lang w:val="da-DK"/>
              </w:rPr>
            </w:pPr>
            <w:r w:rsidRPr="001278B6">
              <w:rPr>
                <w:snapToGrid w:val="0"/>
                <w:sz w:val="20"/>
                <w:lang w:val="da-DK"/>
              </w:rPr>
              <w:t>Paclitaxel</w:t>
            </w:r>
          </w:p>
          <w:p w14:paraId="40E4CD9A"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(n=354)</w:t>
            </w:r>
          </w:p>
        </w:tc>
        <w:tc>
          <w:tcPr>
            <w:tcW w:w="3240" w:type="dxa"/>
          </w:tcPr>
          <w:p w14:paraId="24B05627" w14:textId="77777777" w:rsidR="0040146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Paclitaxel/</w:t>
            </w:r>
            <w:r w:rsidR="00267822">
              <w:rPr>
                <w:snapToGrid w:val="0"/>
                <w:sz w:val="20"/>
                <w:lang w:val="da-DK"/>
              </w:rPr>
              <w:t>Bevacizumab</w:t>
            </w:r>
          </w:p>
          <w:p w14:paraId="1BE5DB6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(n=368)</w:t>
            </w:r>
          </w:p>
        </w:tc>
      </w:tr>
      <w:tr w:rsidR="003563EF" w:rsidRPr="005476B6" w14:paraId="6AFEBF95" w14:textId="77777777" w:rsidTr="000262BC">
        <w:tc>
          <w:tcPr>
            <w:tcW w:w="2268" w:type="dxa"/>
          </w:tcPr>
          <w:p w14:paraId="2569B884"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Median OS (måneder)</w:t>
            </w:r>
          </w:p>
        </w:tc>
        <w:tc>
          <w:tcPr>
            <w:tcW w:w="3240" w:type="dxa"/>
          </w:tcPr>
          <w:p w14:paraId="63D853E0"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24,8</w:t>
            </w:r>
          </w:p>
        </w:tc>
        <w:tc>
          <w:tcPr>
            <w:tcW w:w="3240" w:type="dxa"/>
          </w:tcPr>
          <w:p w14:paraId="7D16B3DA"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26,5</w:t>
            </w:r>
          </w:p>
        </w:tc>
      </w:tr>
      <w:tr w:rsidR="003563EF" w:rsidRPr="005476B6" w14:paraId="03F1C903" w14:textId="77777777" w:rsidTr="000262BC">
        <w:tc>
          <w:tcPr>
            <w:tcW w:w="2268" w:type="dxa"/>
          </w:tcPr>
          <w:p w14:paraId="77C9D629" w14:textId="77777777" w:rsidR="00015B05" w:rsidRDefault="00473235" w:rsidP="001278B6">
            <w:pPr>
              <w:pStyle w:val="TableParagraph"/>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w:t>
            </w:r>
          </w:p>
          <w:p w14:paraId="4A08AE0A" w14:textId="370A2461"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(95 % konfidens</w:t>
            </w:r>
            <w:r w:rsidR="004B3750">
              <w:rPr>
                <w:snapToGrid w:val="0"/>
                <w:sz w:val="20"/>
                <w:lang w:val="da-DK"/>
              </w:rPr>
              <w:noBreakHyphen/>
            </w:r>
            <w:r w:rsidRPr="001278B6">
              <w:rPr>
                <w:snapToGrid w:val="0"/>
                <w:sz w:val="20"/>
                <w:lang w:val="da-DK"/>
              </w:rPr>
              <w:t>interval)</w:t>
            </w:r>
          </w:p>
        </w:tc>
        <w:tc>
          <w:tcPr>
            <w:tcW w:w="6480" w:type="dxa"/>
            <w:gridSpan w:val="2"/>
          </w:tcPr>
          <w:p w14:paraId="4A0999A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0,869</w:t>
            </w:r>
          </w:p>
          <w:p w14:paraId="6D58D50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(0,722</w:t>
            </w:r>
            <w:r w:rsidR="004B3750">
              <w:rPr>
                <w:snapToGrid w:val="0"/>
                <w:sz w:val="20"/>
                <w:lang w:val="da-DK"/>
              </w:rPr>
              <w:noBreakHyphen/>
            </w:r>
            <w:r w:rsidRPr="001278B6">
              <w:rPr>
                <w:snapToGrid w:val="0"/>
                <w:sz w:val="20"/>
                <w:lang w:val="da-DK"/>
              </w:rPr>
              <w:t>1,046)</w:t>
            </w:r>
          </w:p>
        </w:tc>
      </w:tr>
      <w:tr w:rsidR="003563EF" w:rsidRPr="005476B6" w14:paraId="0F6A9932" w14:textId="77777777" w:rsidTr="000262BC">
        <w:tc>
          <w:tcPr>
            <w:tcW w:w="2268" w:type="dxa"/>
          </w:tcPr>
          <w:p w14:paraId="6DB92C9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6480" w:type="dxa"/>
            <w:gridSpan w:val="2"/>
          </w:tcPr>
          <w:p w14:paraId="73F1698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0,1374</w:t>
            </w:r>
          </w:p>
        </w:tc>
      </w:tr>
    </w:tbl>
    <w:p w14:paraId="0783C059" w14:textId="77777777" w:rsidR="0079124A" w:rsidRPr="001278B6" w:rsidRDefault="0079124A" w:rsidP="001278B6">
      <w:pPr>
        <w:widowControl/>
        <w:adjustRightInd w:val="0"/>
        <w:snapToGrid w:val="0"/>
        <w:jc w:val="center"/>
        <w:rPr>
          <w:snapToGrid w:val="0"/>
          <w:lang w:val="da-DK"/>
        </w:rPr>
      </w:pPr>
    </w:p>
    <w:p w14:paraId="6476DE1D" w14:textId="77777777"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 xml:space="preserve">Den kliniske effekt af </w:t>
      </w:r>
      <w:r w:rsidR="00267822">
        <w:rPr>
          <w:snapToGrid w:val="0"/>
          <w:lang w:val="da-DK"/>
        </w:rPr>
        <w:t>bevacizumab</w:t>
      </w:r>
      <w:r w:rsidRPr="001278B6">
        <w:rPr>
          <w:snapToGrid w:val="0"/>
          <w:lang w:val="da-DK"/>
        </w:rPr>
        <w:t>, målt som PFS, blev observeret hos alle testede præspecificerede undergrupper (herunder sygdomsfrit interval, antal metastatiske foci, tidligere adjuverende kemoterapi og østrogenreceptorstatus (ER)).</w:t>
      </w:r>
    </w:p>
    <w:p w14:paraId="3F33D8D3" w14:textId="77777777" w:rsidR="003563EF" w:rsidRPr="001278B6" w:rsidRDefault="003563EF" w:rsidP="001278B6">
      <w:pPr>
        <w:pStyle w:val="a3"/>
        <w:widowControl/>
        <w:adjustRightInd w:val="0"/>
        <w:snapToGrid w:val="0"/>
        <w:rPr>
          <w:snapToGrid w:val="0"/>
          <w:lang w:val="da-DK"/>
        </w:rPr>
      </w:pPr>
    </w:p>
    <w:p w14:paraId="4311EBC5" w14:textId="77777777" w:rsidR="003563EF" w:rsidRPr="001278B6" w:rsidRDefault="00473235" w:rsidP="001278B6">
      <w:pPr>
        <w:keepNext/>
        <w:keepLines/>
        <w:widowControl/>
        <w:adjustRightInd w:val="0"/>
        <w:snapToGrid w:val="0"/>
        <w:rPr>
          <w:i/>
          <w:snapToGrid w:val="0"/>
          <w:lang w:val="da-DK"/>
        </w:rPr>
      </w:pPr>
      <w:bookmarkStart w:id="3" w:name="_Hlk104828441"/>
      <w:r w:rsidRPr="001278B6">
        <w:rPr>
          <w:i/>
          <w:snapToGrid w:val="0"/>
          <w:lang w:val="da-DK"/>
        </w:rPr>
        <w:t>AVF3694</w:t>
      </w:r>
      <w:bookmarkEnd w:id="3"/>
      <w:r w:rsidRPr="001278B6">
        <w:rPr>
          <w:i/>
          <w:snapToGrid w:val="0"/>
          <w:lang w:val="da-DK"/>
        </w:rPr>
        <w:t>g</w:t>
      </w:r>
    </w:p>
    <w:p w14:paraId="218ECB98" w14:textId="167B09BD" w:rsidR="003563EF" w:rsidRPr="001278B6" w:rsidRDefault="00473235" w:rsidP="001278B6">
      <w:pPr>
        <w:pStyle w:val="a3"/>
        <w:widowControl/>
        <w:adjustRightInd w:val="0"/>
        <w:snapToGrid w:val="0"/>
        <w:rPr>
          <w:snapToGrid w:val="0"/>
          <w:lang w:val="da-DK"/>
        </w:rPr>
      </w:pPr>
      <w:r w:rsidRPr="001278B6">
        <w:rPr>
          <w:snapToGrid w:val="0"/>
          <w:lang w:val="da-DK"/>
        </w:rPr>
        <w:t xml:space="preserve">AVF3694g var et fase III, multicenter, randomiseret, placebokontrolleret studie designet til at evaluere effekten og sikkerheden af </w:t>
      </w:r>
      <w:r w:rsidR="00FE7FC1">
        <w:rPr>
          <w:snapToGrid w:val="0"/>
          <w:lang w:val="da-DK"/>
        </w:rPr>
        <w:t>bevacizumab</w:t>
      </w:r>
      <w:r w:rsidR="00FE7FC1" w:rsidRPr="001278B6">
        <w:rPr>
          <w:snapToGrid w:val="0"/>
          <w:lang w:val="da-DK"/>
        </w:rPr>
        <w:t xml:space="preserve"> </w:t>
      </w:r>
      <w:r w:rsidRPr="001278B6">
        <w:rPr>
          <w:snapToGrid w:val="0"/>
          <w:lang w:val="da-DK"/>
        </w:rPr>
        <w:t>i kombination med kemoterapi sammenlignet med kemoterapi plus placebo som 1.</w:t>
      </w:r>
      <w:r w:rsidR="004B3750">
        <w:rPr>
          <w:snapToGrid w:val="0"/>
          <w:lang w:val="da-DK"/>
        </w:rPr>
        <w:noBreakHyphen/>
      </w:r>
      <w:r w:rsidRPr="001278B6">
        <w:rPr>
          <w:snapToGrid w:val="0"/>
          <w:lang w:val="da-DK"/>
        </w:rPr>
        <w:t>linjebehandling til patienter med HER</w:t>
      </w:r>
      <w:r w:rsidR="004B3750">
        <w:rPr>
          <w:snapToGrid w:val="0"/>
          <w:lang w:val="da-DK"/>
        </w:rPr>
        <w:noBreakHyphen/>
      </w:r>
      <w:r w:rsidRPr="001278B6">
        <w:rPr>
          <w:snapToGrid w:val="0"/>
          <w:lang w:val="da-DK"/>
        </w:rPr>
        <w:t>2 negativ metastatisk eller lokalt recidiverende brystkræft.</w:t>
      </w:r>
    </w:p>
    <w:p w14:paraId="7E2556B0" w14:textId="77777777" w:rsidR="003563EF" w:rsidRPr="001278B6" w:rsidRDefault="003563EF" w:rsidP="001278B6">
      <w:pPr>
        <w:pStyle w:val="a3"/>
        <w:widowControl/>
        <w:adjustRightInd w:val="0"/>
        <w:snapToGrid w:val="0"/>
        <w:rPr>
          <w:snapToGrid w:val="0"/>
          <w:lang w:val="da-DK"/>
        </w:rPr>
      </w:pPr>
    </w:p>
    <w:p w14:paraId="797BA149"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Kemoterapi blev valgt på investigators skøn forud for randomisering i et 2:1 forhold for behandling med enten kemoterapi plus </w:t>
      </w:r>
      <w:r w:rsidR="00267822">
        <w:rPr>
          <w:snapToGrid w:val="0"/>
          <w:lang w:val="da-DK"/>
        </w:rPr>
        <w:t>bevacizumab</w:t>
      </w:r>
      <w:r w:rsidRPr="001278B6">
        <w:rPr>
          <w:snapToGrid w:val="0"/>
          <w:lang w:val="da-DK"/>
        </w:rPr>
        <w:t xml:space="preserve"> eller kemoterapi plus placebo. Valg af kemoterapi omfattede capecitabin, taxan (proteinbundet paclitaxel, docetaxel) og antracyklinbaserede stoffer (doxorubicin/ cyclophosphamid, epirubicin/cyclophosphamid, 5</w:t>
      </w:r>
      <w:r w:rsidR="004B3750">
        <w:rPr>
          <w:snapToGrid w:val="0"/>
          <w:lang w:val="da-DK"/>
        </w:rPr>
        <w:noBreakHyphen/>
      </w:r>
      <w:r w:rsidRPr="001278B6">
        <w:rPr>
          <w:snapToGrid w:val="0"/>
          <w:lang w:val="da-DK"/>
        </w:rPr>
        <w:t>fluoruracil/doxorubicin/cyclophosphamid, 5</w:t>
      </w:r>
      <w:r w:rsidR="004B3750">
        <w:rPr>
          <w:snapToGrid w:val="0"/>
          <w:lang w:val="da-DK"/>
        </w:rPr>
        <w:noBreakHyphen/>
      </w:r>
      <w:r w:rsidRPr="001278B6">
        <w:rPr>
          <w:snapToGrid w:val="0"/>
          <w:lang w:val="da-DK"/>
        </w:rPr>
        <w:t xml:space="preserve">fluoruracil/epirubicin/cyclophosphamid) administreret hver 3. uge. </w:t>
      </w:r>
      <w:r w:rsidR="00267822">
        <w:rPr>
          <w:snapToGrid w:val="0"/>
          <w:lang w:val="da-DK"/>
        </w:rPr>
        <w:t>Bevacizumab</w:t>
      </w:r>
      <w:r w:rsidRPr="001278B6">
        <w:rPr>
          <w:snapToGrid w:val="0"/>
          <w:lang w:val="da-DK"/>
        </w:rPr>
        <w:t xml:space="preserve"> eller placebo blev administreret i doser på 15</w:t>
      </w:r>
      <w:r w:rsidR="00D003C8">
        <w:rPr>
          <w:snapToGrid w:val="0"/>
          <w:lang w:val="da-DK"/>
        </w:rPr>
        <w:t> mg</w:t>
      </w:r>
      <w:r w:rsidRPr="001278B6">
        <w:rPr>
          <w:snapToGrid w:val="0"/>
          <w:lang w:val="da-DK"/>
        </w:rPr>
        <w:t>/kg hver 3. uge.</w:t>
      </w:r>
    </w:p>
    <w:p w14:paraId="16E75765" w14:textId="77777777" w:rsidR="003563EF" w:rsidRPr="001278B6" w:rsidRDefault="003563EF" w:rsidP="001278B6">
      <w:pPr>
        <w:pStyle w:val="a3"/>
        <w:widowControl/>
        <w:adjustRightInd w:val="0"/>
        <w:snapToGrid w:val="0"/>
        <w:rPr>
          <w:snapToGrid w:val="0"/>
          <w:lang w:val="da-DK"/>
        </w:rPr>
      </w:pPr>
    </w:p>
    <w:p w14:paraId="44108A7E" w14:textId="77777777" w:rsidR="003563EF" w:rsidRPr="001278B6" w:rsidRDefault="00473235" w:rsidP="001278B6">
      <w:pPr>
        <w:pStyle w:val="a3"/>
        <w:widowControl/>
        <w:adjustRightInd w:val="0"/>
        <w:snapToGrid w:val="0"/>
        <w:rPr>
          <w:snapToGrid w:val="0"/>
          <w:lang w:val="da-DK"/>
        </w:rPr>
      </w:pPr>
      <w:r w:rsidRPr="001278B6">
        <w:rPr>
          <w:snapToGrid w:val="0"/>
          <w:lang w:val="da-DK"/>
        </w:rPr>
        <w:t>Dette studie indeholdt en blindet behandlingsfase, en valgfri åben post</w:t>
      </w:r>
      <w:r w:rsidR="004B3750">
        <w:rPr>
          <w:snapToGrid w:val="0"/>
          <w:lang w:val="da-DK"/>
        </w:rPr>
        <w:noBreakHyphen/>
      </w:r>
      <w:r w:rsidRPr="001278B6">
        <w:rPr>
          <w:snapToGrid w:val="0"/>
          <w:lang w:val="da-DK"/>
        </w:rPr>
        <w:t>progressionsfase og en opfølgningsfase for overlevelse. Under den blindede behandlingsfase fik patienterne kemoterapi og lægemiddel (</w:t>
      </w:r>
      <w:r w:rsidR="00267822">
        <w:rPr>
          <w:snapToGrid w:val="0"/>
          <w:lang w:val="da-DK"/>
        </w:rPr>
        <w:t>bevacizumab</w:t>
      </w:r>
      <w:r w:rsidRPr="001278B6">
        <w:rPr>
          <w:snapToGrid w:val="0"/>
          <w:lang w:val="da-DK"/>
        </w:rPr>
        <w:t xml:space="preserve"> eller placebo) hver 3. uge indtil sygdomsprogression, behandlingsbegrænsende toksicitet eller død. Ved dokumenteret sygdomsprogression kunne patienterne, som indgik i den valgfrie åbne fase, få åben behandling med </w:t>
      </w:r>
      <w:r w:rsidR="00267822">
        <w:rPr>
          <w:snapToGrid w:val="0"/>
          <w:lang w:val="da-DK"/>
        </w:rPr>
        <w:t>bevacizumab</w:t>
      </w:r>
      <w:r w:rsidRPr="001278B6">
        <w:rPr>
          <w:snapToGrid w:val="0"/>
          <w:lang w:val="da-DK"/>
        </w:rPr>
        <w:t xml:space="preserve"> sammen med en række forskellige 2.</w:t>
      </w:r>
      <w:r w:rsidR="00B27BDB">
        <w:rPr>
          <w:snapToGrid w:val="0"/>
          <w:lang w:val="da-DK"/>
        </w:rPr>
        <w:t> </w:t>
      </w:r>
      <w:r w:rsidRPr="001278B6">
        <w:rPr>
          <w:snapToGrid w:val="0"/>
          <w:lang w:val="da-DK"/>
        </w:rPr>
        <w:t>linjebehandlinger.</w:t>
      </w:r>
    </w:p>
    <w:p w14:paraId="499DE495" w14:textId="77777777" w:rsidR="003563EF" w:rsidRPr="001278B6" w:rsidRDefault="003563EF" w:rsidP="001278B6">
      <w:pPr>
        <w:pStyle w:val="a3"/>
        <w:widowControl/>
        <w:adjustRightInd w:val="0"/>
        <w:snapToGrid w:val="0"/>
        <w:rPr>
          <w:snapToGrid w:val="0"/>
          <w:lang w:val="da-DK"/>
        </w:rPr>
      </w:pPr>
    </w:p>
    <w:p w14:paraId="4956F5A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Statistiske analyser blev udført uafhængigt for 1) patienter, som fik capecitabin i kombination med </w:t>
      </w:r>
      <w:r w:rsidR="00267822">
        <w:rPr>
          <w:snapToGrid w:val="0"/>
          <w:lang w:val="da-DK"/>
        </w:rPr>
        <w:t>bevacizumab</w:t>
      </w:r>
      <w:r w:rsidRPr="001278B6">
        <w:rPr>
          <w:snapToGrid w:val="0"/>
          <w:lang w:val="da-DK"/>
        </w:rPr>
        <w:t xml:space="preserve"> eller placebo; 2) patienter, som fik taxanbaseret eller antracyklinbaseret kemoterapi i kombination med </w:t>
      </w:r>
      <w:r w:rsidR="00267822">
        <w:rPr>
          <w:snapToGrid w:val="0"/>
          <w:lang w:val="da-DK"/>
        </w:rPr>
        <w:t>bevacizumab</w:t>
      </w:r>
      <w:r w:rsidRPr="001278B6">
        <w:rPr>
          <w:snapToGrid w:val="0"/>
          <w:lang w:val="da-DK"/>
        </w:rPr>
        <w:t xml:space="preserve"> eller placebo. Det primære endepunkt for studiet var progressionsfri overlevelse (PFS) baseret på investigators vurdering. Desuden blev det primære endepunkt også vurderet af en uafhængig evalueringskomité (IRC).</w:t>
      </w:r>
    </w:p>
    <w:p w14:paraId="281BEDFA" w14:textId="77777777" w:rsidR="003563EF" w:rsidRPr="001278B6" w:rsidRDefault="003563EF" w:rsidP="001278B6">
      <w:pPr>
        <w:pStyle w:val="a3"/>
        <w:widowControl/>
        <w:adjustRightInd w:val="0"/>
        <w:snapToGrid w:val="0"/>
        <w:rPr>
          <w:snapToGrid w:val="0"/>
          <w:lang w:val="da-DK"/>
        </w:rPr>
      </w:pPr>
    </w:p>
    <w:p w14:paraId="52855A86" w14:textId="466C493C" w:rsidR="003563EF" w:rsidRPr="001278B6" w:rsidRDefault="00473235" w:rsidP="001278B6">
      <w:pPr>
        <w:pStyle w:val="a3"/>
        <w:widowControl/>
        <w:adjustRightInd w:val="0"/>
        <w:snapToGrid w:val="0"/>
        <w:rPr>
          <w:snapToGrid w:val="0"/>
          <w:lang w:val="da-DK"/>
        </w:rPr>
      </w:pPr>
      <w:r w:rsidRPr="001278B6">
        <w:rPr>
          <w:snapToGrid w:val="0"/>
          <w:lang w:val="da-DK"/>
        </w:rPr>
        <w:t>Resultaterne fra studie AVF3694g for de protokol</w:t>
      </w:r>
      <w:r w:rsidR="004B3750">
        <w:rPr>
          <w:snapToGrid w:val="0"/>
          <w:lang w:val="da-DK"/>
        </w:rPr>
        <w:noBreakHyphen/>
      </w:r>
      <w:r w:rsidRPr="001278B6">
        <w:rPr>
          <w:snapToGrid w:val="0"/>
          <w:lang w:val="da-DK"/>
        </w:rPr>
        <w:t xml:space="preserve">definerede analyser for </w:t>
      </w:r>
      <w:r w:rsidR="00052C55">
        <w:rPr>
          <w:snapToGrid w:val="0"/>
          <w:lang w:val="da-DK"/>
        </w:rPr>
        <w:t>PFS</w:t>
      </w:r>
      <w:r w:rsidRPr="001278B6">
        <w:rPr>
          <w:snapToGrid w:val="0"/>
          <w:lang w:val="da-DK"/>
        </w:rPr>
        <w:t xml:space="preserve"> og responsrater i den uafhængige capecitabin</w:t>
      </w:r>
      <w:r w:rsidR="004B3750">
        <w:rPr>
          <w:snapToGrid w:val="0"/>
          <w:lang w:val="da-DK"/>
        </w:rPr>
        <w:noBreakHyphen/>
      </w:r>
      <w:r w:rsidRPr="001278B6">
        <w:rPr>
          <w:snapToGrid w:val="0"/>
          <w:lang w:val="da-DK"/>
        </w:rPr>
        <w:t xml:space="preserve">kohorte er præsenteret i tabel 11. Resultater fra en eksplorativ analyse af </w:t>
      </w:r>
      <w:r w:rsidR="00052C55">
        <w:rPr>
          <w:snapToGrid w:val="0"/>
          <w:lang w:val="da-DK"/>
        </w:rPr>
        <w:t>OS</w:t>
      </w:r>
      <w:r w:rsidRPr="001278B6">
        <w:rPr>
          <w:snapToGrid w:val="0"/>
          <w:lang w:val="da-DK"/>
        </w:rPr>
        <w:t>, som inkluderer yderligere 7 måneders opfølgning (ca. 46</w:t>
      </w:r>
      <w:r w:rsidR="00B27BDB">
        <w:rPr>
          <w:snapToGrid w:val="0"/>
          <w:lang w:val="da-DK"/>
        </w:rPr>
        <w:t> </w:t>
      </w:r>
      <w:r w:rsidRPr="001278B6">
        <w:rPr>
          <w:snapToGrid w:val="0"/>
          <w:lang w:val="da-DK"/>
        </w:rPr>
        <w:t xml:space="preserve">% af patienterne var døde), er også præsenteret. Procentdelen af patienter, der fik åben behandling med </w:t>
      </w:r>
      <w:r w:rsidR="00D8249E">
        <w:rPr>
          <w:snapToGrid w:val="0"/>
          <w:lang w:val="da-DK"/>
        </w:rPr>
        <w:t>bevacizumab</w:t>
      </w:r>
      <w:r w:rsidRPr="001278B6">
        <w:rPr>
          <w:snapToGrid w:val="0"/>
          <w:lang w:val="da-DK"/>
        </w:rPr>
        <w:t>, var 62,1 % i capecitabin + placebo</w:t>
      </w:r>
      <w:r w:rsidR="004B3750">
        <w:rPr>
          <w:snapToGrid w:val="0"/>
          <w:lang w:val="da-DK"/>
        </w:rPr>
        <w:noBreakHyphen/>
      </w:r>
      <w:r w:rsidRPr="001278B6">
        <w:rPr>
          <w:snapToGrid w:val="0"/>
          <w:lang w:val="da-DK"/>
        </w:rPr>
        <w:t xml:space="preserve">armen og 49,9 % i capecitabin + </w:t>
      </w:r>
      <w:r w:rsidR="00D8249E">
        <w:rPr>
          <w:snapToGrid w:val="0"/>
          <w:lang w:val="da-DK"/>
        </w:rPr>
        <w:t>bevacizumab</w:t>
      </w:r>
      <w:r w:rsidR="004B3750">
        <w:rPr>
          <w:snapToGrid w:val="0"/>
          <w:lang w:val="da-DK"/>
        </w:rPr>
        <w:noBreakHyphen/>
      </w:r>
      <w:r w:rsidRPr="001278B6">
        <w:rPr>
          <w:snapToGrid w:val="0"/>
          <w:lang w:val="da-DK"/>
        </w:rPr>
        <w:t>armen.</w:t>
      </w:r>
    </w:p>
    <w:p w14:paraId="3E1DB9A7" w14:textId="77777777" w:rsidR="00AD71D9" w:rsidRDefault="00AD71D9" w:rsidP="00747393">
      <w:pPr>
        <w:rPr>
          <w:snapToGrid w:val="0"/>
          <w:lang w:val="da-DK"/>
        </w:rPr>
      </w:pPr>
    </w:p>
    <w:p w14:paraId="15680AF2" w14:textId="7663F10C" w:rsidR="003563EF" w:rsidRPr="00BB1BD4" w:rsidRDefault="00473235" w:rsidP="00BB1BD4">
      <w:pPr>
        <w:ind w:left="1134" w:hanging="1134"/>
        <w:rPr>
          <w:b/>
          <w:bCs/>
          <w:snapToGrid w:val="0"/>
          <w:lang w:val="da-DK"/>
        </w:rPr>
      </w:pPr>
      <w:r w:rsidRPr="00BB1BD4">
        <w:rPr>
          <w:b/>
          <w:bCs/>
          <w:snapToGrid w:val="0"/>
          <w:lang w:val="da-DK"/>
        </w:rPr>
        <w:t>Tabel 11.</w:t>
      </w:r>
      <w:r w:rsidRPr="00BB1BD4">
        <w:rPr>
          <w:b/>
          <w:bCs/>
          <w:snapToGrid w:val="0"/>
          <w:lang w:val="da-DK"/>
        </w:rPr>
        <w:tab/>
        <w:t>Effektresultater fra studie AVF3694g – Capecitabina</w:t>
      </w:r>
      <w:r w:rsidR="00247342" w:rsidRPr="00BB1BD4">
        <w:rPr>
          <w:b/>
          <w:bCs/>
          <w:color w:val="000000"/>
          <w:vertAlign w:val="superscript"/>
          <w:lang w:val="da-DK"/>
        </w:rPr>
        <w:t>a</w:t>
      </w:r>
      <w:r w:rsidRPr="00BB1BD4">
        <w:rPr>
          <w:b/>
          <w:bCs/>
          <w:snapToGrid w:val="0"/>
          <w:lang w:val="da-DK"/>
        </w:rPr>
        <w:t xml:space="preserve"> og </w:t>
      </w:r>
      <w:r w:rsidR="00D8249E" w:rsidRPr="00BB1BD4">
        <w:rPr>
          <w:b/>
          <w:bCs/>
          <w:snapToGrid w:val="0"/>
          <w:lang w:val="da-DK"/>
        </w:rPr>
        <w:t>Bevacizumab</w:t>
      </w:r>
      <w:r w:rsidRPr="00BB1BD4">
        <w:rPr>
          <w:b/>
          <w:bCs/>
          <w:snapToGrid w:val="0"/>
          <w:lang w:val="da-DK"/>
        </w:rPr>
        <w:t>/</w:t>
      </w:r>
      <w:r w:rsidR="002A39BD" w:rsidRPr="00BB1BD4">
        <w:rPr>
          <w:b/>
          <w:bCs/>
          <w:snapToGrid w:val="0"/>
          <w:lang w:val="da-DK"/>
        </w:rPr>
        <w:t xml:space="preserve">Placebo </w:t>
      </w:r>
      <w:r w:rsidRPr="00BB1BD4">
        <w:rPr>
          <w:b/>
          <w:bCs/>
          <w:snapToGrid w:val="0"/>
          <w:lang w:val="da-DK"/>
        </w:rPr>
        <w:t xml:space="preserve">(Cap + </w:t>
      </w:r>
      <w:r w:rsidR="00D8249E" w:rsidRPr="00BB1BD4">
        <w:rPr>
          <w:b/>
          <w:bCs/>
          <w:snapToGrid w:val="0"/>
          <w:lang w:val="da-DK"/>
        </w:rPr>
        <w:t>Bevacizumab</w:t>
      </w:r>
      <w:r w:rsidRPr="00BB1BD4">
        <w:rPr>
          <w:b/>
          <w:bCs/>
          <w:snapToGrid w:val="0"/>
          <w:lang w:val="da-DK"/>
        </w:rPr>
        <w:t>/</w:t>
      </w:r>
      <w:r w:rsidR="002A39BD" w:rsidRPr="00BB1BD4">
        <w:rPr>
          <w:b/>
          <w:bCs/>
          <w:snapToGrid w:val="0"/>
          <w:lang w:val="da-DK"/>
        </w:rPr>
        <w:t>P</w:t>
      </w:r>
      <w:r w:rsidRPr="00BB1BD4">
        <w:rPr>
          <w:b/>
          <w:bCs/>
          <w:snapToGrid w:val="0"/>
          <w:lang w:val="da-DK"/>
        </w:rPr>
        <w:t>l)</w:t>
      </w:r>
    </w:p>
    <w:p w14:paraId="5378A022"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1626"/>
        <w:gridCol w:w="1630"/>
        <w:gridCol w:w="1605"/>
        <w:gridCol w:w="1790"/>
      </w:tblGrid>
      <w:tr w:rsidR="003563EF" w:rsidRPr="005476B6" w14:paraId="13210A8D" w14:textId="77777777" w:rsidTr="00AA766B">
        <w:tc>
          <w:tcPr>
            <w:tcW w:w="8448" w:type="dxa"/>
            <w:gridSpan w:val="5"/>
          </w:tcPr>
          <w:p w14:paraId="55A4175C" w14:textId="77777777" w:rsidR="003563EF" w:rsidRPr="001278B6" w:rsidRDefault="00473235" w:rsidP="001278B6">
            <w:pPr>
              <w:pStyle w:val="TableParagraph"/>
              <w:keepNext/>
              <w:keepLines/>
              <w:widowControl/>
              <w:adjustRightInd w:val="0"/>
              <w:snapToGrid w:val="0"/>
              <w:rPr>
                <w:b/>
                <w:bCs/>
                <w:snapToGrid w:val="0"/>
                <w:sz w:val="20"/>
                <w:lang w:val="da-DK"/>
              </w:rPr>
            </w:pPr>
            <w:r w:rsidRPr="001278B6">
              <w:rPr>
                <w:b/>
                <w:bCs/>
                <w:snapToGrid w:val="0"/>
                <w:sz w:val="20"/>
                <w:lang w:val="da-DK"/>
              </w:rPr>
              <w:t>Progressionsfri overlevelse</w:t>
            </w:r>
            <w:r w:rsidRPr="001278B6">
              <w:rPr>
                <w:b/>
                <w:bCs/>
                <w:snapToGrid w:val="0"/>
                <w:sz w:val="20"/>
                <w:vertAlign w:val="superscript"/>
                <w:lang w:val="da-DK"/>
              </w:rPr>
              <w:t>b</w:t>
            </w:r>
          </w:p>
        </w:tc>
      </w:tr>
      <w:tr w:rsidR="003563EF" w:rsidRPr="005476B6" w14:paraId="757DB0C8" w14:textId="77777777" w:rsidTr="001278B6">
        <w:tc>
          <w:tcPr>
            <w:tcW w:w="2243" w:type="dxa"/>
          </w:tcPr>
          <w:p w14:paraId="759E8CCD" w14:textId="77777777" w:rsidR="003563EF" w:rsidRPr="001278B6" w:rsidRDefault="003563EF" w:rsidP="001278B6">
            <w:pPr>
              <w:pStyle w:val="TableParagraph"/>
              <w:keepNext/>
              <w:keepLines/>
              <w:widowControl/>
              <w:adjustRightInd w:val="0"/>
              <w:snapToGrid w:val="0"/>
              <w:rPr>
                <w:snapToGrid w:val="0"/>
                <w:sz w:val="20"/>
                <w:lang w:val="da-DK"/>
              </w:rPr>
            </w:pPr>
          </w:p>
        </w:tc>
        <w:tc>
          <w:tcPr>
            <w:tcW w:w="3038" w:type="dxa"/>
            <w:gridSpan w:val="2"/>
          </w:tcPr>
          <w:p w14:paraId="5E8C7C8C"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Investigators vurdering</w:t>
            </w:r>
          </w:p>
        </w:tc>
        <w:tc>
          <w:tcPr>
            <w:tcW w:w="3167" w:type="dxa"/>
            <w:gridSpan w:val="2"/>
          </w:tcPr>
          <w:p w14:paraId="4E92EC3D"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IRC</w:t>
            </w:r>
            <w:r w:rsidR="004B3750">
              <w:rPr>
                <w:b/>
                <w:bCs/>
                <w:snapToGrid w:val="0"/>
                <w:sz w:val="20"/>
                <w:lang w:val="da-DK"/>
              </w:rPr>
              <w:noBreakHyphen/>
            </w:r>
            <w:r w:rsidRPr="001278B6">
              <w:rPr>
                <w:b/>
                <w:bCs/>
                <w:snapToGrid w:val="0"/>
                <w:sz w:val="20"/>
                <w:lang w:val="da-DK"/>
              </w:rPr>
              <w:t>vurdering</w:t>
            </w:r>
          </w:p>
        </w:tc>
      </w:tr>
      <w:tr w:rsidR="003563EF" w:rsidRPr="005476B6" w14:paraId="628363CD" w14:textId="77777777" w:rsidTr="00AA766B">
        <w:tc>
          <w:tcPr>
            <w:tcW w:w="2243" w:type="dxa"/>
          </w:tcPr>
          <w:p w14:paraId="71F3D394" w14:textId="77777777" w:rsidR="003563EF" w:rsidRPr="001278B6" w:rsidRDefault="003563EF" w:rsidP="001278B6">
            <w:pPr>
              <w:pStyle w:val="TableParagraph"/>
              <w:keepNext/>
              <w:keepLines/>
              <w:widowControl/>
              <w:adjustRightInd w:val="0"/>
              <w:snapToGrid w:val="0"/>
              <w:rPr>
                <w:snapToGrid w:val="0"/>
                <w:sz w:val="20"/>
                <w:lang w:val="da-DK"/>
              </w:rPr>
            </w:pPr>
          </w:p>
        </w:tc>
        <w:tc>
          <w:tcPr>
            <w:tcW w:w="1517" w:type="dxa"/>
          </w:tcPr>
          <w:p w14:paraId="3208B666" w14:textId="77777777" w:rsidR="001F15D2" w:rsidRDefault="00473235" w:rsidP="00401466">
            <w:pPr>
              <w:pStyle w:val="TableParagraph"/>
              <w:keepNext/>
              <w:keepLines/>
              <w:widowControl/>
              <w:adjustRightInd w:val="0"/>
              <w:snapToGrid w:val="0"/>
              <w:jc w:val="center"/>
              <w:rPr>
                <w:snapToGrid w:val="0"/>
                <w:sz w:val="20"/>
                <w:lang w:val="da-DK"/>
              </w:rPr>
            </w:pPr>
            <w:r w:rsidRPr="001278B6">
              <w:rPr>
                <w:snapToGrid w:val="0"/>
                <w:sz w:val="20"/>
                <w:lang w:val="da-DK"/>
              </w:rPr>
              <w:t xml:space="preserve">Cap + pl </w:t>
            </w:r>
          </w:p>
          <w:p w14:paraId="134A349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(n=206)</w:t>
            </w:r>
          </w:p>
        </w:tc>
        <w:tc>
          <w:tcPr>
            <w:tcW w:w="1521" w:type="dxa"/>
          </w:tcPr>
          <w:p w14:paraId="20D0F813" w14:textId="77777777" w:rsidR="001F15D2" w:rsidRDefault="00473235" w:rsidP="00401466">
            <w:pPr>
              <w:pStyle w:val="TableParagraph"/>
              <w:keepNext/>
              <w:keepLines/>
              <w:widowControl/>
              <w:adjustRightInd w:val="0"/>
              <w:snapToGrid w:val="0"/>
              <w:jc w:val="center"/>
              <w:rPr>
                <w:snapToGrid w:val="0"/>
                <w:sz w:val="20"/>
                <w:lang w:val="da-DK"/>
              </w:rPr>
            </w:pPr>
            <w:r w:rsidRPr="001278B6">
              <w:rPr>
                <w:snapToGrid w:val="0"/>
                <w:sz w:val="20"/>
                <w:lang w:val="da-DK"/>
              </w:rPr>
              <w:t xml:space="preserve">Cap + </w:t>
            </w:r>
            <w:r w:rsidR="00D8249E">
              <w:rPr>
                <w:snapToGrid w:val="0"/>
                <w:sz w:val="20"/>
                <w:lang w:val="da-DK"/>
              </w:rPr>
              <w:t>Bevacizumab</w:t>
            </w:r>
            <w:r w:rsidRPr="001278B6">
              <w:rPr>
                <w:snapToGrid w:val="0"/>
                <w:sz w:val="20"/>
                <w:lang w:val="da-DK"/>
              </w:rPr>
              <w:t xml:space="preserve"> </w:t>
            </w:r>
          </w:p>
          <w:p w14:paraId="0BC9BB9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(n=409)</w:t>
            </w:r>
          </w:p>
        </w:tc>
        <w:tc>
          <w:tcPr>
            <w:tcW w:w="1497" w:type="dxa"/>
          </w:tcPr>
          <w:p w14:paraId="552F06D1" w14:textId="77777777" w:rsidR="001F15D2" w:rsidRDefault="00473235" w:rsidP="00401466">
            <w:pPr>
              <w:pStyle w:val="TableParagraph"/>
              <w:keepNext/>
              <w:keepLines/>
              <w:widowControl/>
              <w:adjustRightInd w:val="0"/>
              <w:snapToGrid w:val="0"/>
              <w:jc w:val="center"/>
              <w:rPr>
                <w:snapToGrid w:val="0"/>
                <w:sz w:val="20"/>
                <w:lang w:val="da-DK"/>
              </w:rPr>
            </w:pPr>
            <w:r w:rsidRPr="001278B6">
              <w:rPr>
                <w:snapToGrid w:val="0"/>
                <w:sz w:val="20"/>
                <w:lang w:val="da-DK"/>
              </w:rPr>
              <w:t xml:space="preserve">Cap + pl </w:t>
            </w:r>
          </w:p>
          <w:p w14:paraId="08257425"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(n=206)</w:t>
            </w:r>
          </w:p>
        </w:tc>
        <w:tc>
          <w:tcPr>
            <w:tcW w:w="1670" w:type="dxa"/>
          </w:tcPr>
          <w:p w14:paraId="1FE5585B" w14:textId="77777777" w:rsidR="001F15D2" w:rsidRDefault="00473235" w:rsidP="00401466">
            <w:pPr>
              <w:pStyle w:val="TableParagraph"/>
              <w:keepNext/>
              <w:keepLines/>
              <w:widowControl/>
              <w:adjustRightInd w:val="0"/>
              <w:snapToGrid w:val="0"/>
              <w:jc w:val="center"/>
              <w:rPr>
                <w:snapToGrid w:val="0"/>
                <w:sz w:val="20"/>
                <w:lang w:val="da-DK"/>
              </w:rPr>
            </w:pPr>
            <w:r w:rsidRPr="001278B6">
              <w:rPr>
                <w:snapToGrid w:val="0"/>
                <w:sz w:val="20"/>
                <w:lang w:val="da-DK"/>
              </w:rPr>
              <w:t xml:space="preserve">Cap + </w:t>
            </w:r>
            <w:r w:rsidR="00D8249E">
              <w:rPr>
                <w:snapToGrid w:val="0"/>
                <w:sz w:val="20"/>
                <w:lang w:val="da-DK"/>
              </w:rPr>
              <w:t>Bevacizumab</w:t>
            </w:r>
            <w:r w:rsidRPr="001278B6">
              <w:rPr>
                <w:snapToGrid w:val="0"/>
                <w:sz w:val="20"/>
                <w:lang w:val="da-DK"/>
              </w:rPr>
              <w:t xml:space="preserve"> </w:t>
            </w:r>
          </w:p>
          <w:p w14:paraId="3C7B554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(n=409)</w:t>
            </w:r>
          </w:p>
        </w:tc>
      </w:tr>
      <w:tr w:rsidR="003563EF" w:rsidRPr="005476B6" w14:paraId="764CB0B8" w14:textId="77777777" w:rsidTr="00AA766B">
        <w:tc>
          <w:tcPr>
            <w:tcW w:w="2243" w:type="dxa"/>
          </w:tcPr>
          <w:p w14:paraId="65989599"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Median PFS (måneder)</w:t>
            </w:r>
          </w:p>
        </w:tc>
        <w:tc>
          <w:tcPr>
            <w:tcW w:w="1517" w:type="dxa"/>
          </w:tcPr>
          <w:p w14:paraId="29AFFE8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5,7</w:t>
            </w:r>
          </w:p>
        </w:tc>
        <w:tc>
          <w:tcPr>
            <w:tcW w:w="1521" w:type="dxa"/>
          </w:tcPr>
          <w:p w14:paraId="5FC442C1"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8,6</w:t>
            </w:r>
          </w:p>
        </w:tc>
        <w:tc>
          <w:tcPr>
            <w:tcW w:w="1497" w:type="dxa"/>
          </w:tcPr>
          <w:p w14:paraId="0741CB6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6,2</w:t>
            </w:r>
          </w:p>
        </w:tc>
        <w:tc>
          <w:tcPr>
            <w:tcW w:w="1670" w:type="dxa"/>
          </w:tcPr>
          <w:p w14:paraId="02259188"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9,8</w:t>
            </w:r>
          </w:p>
        </w:tc>
      </w:tr>
      <w:tr w:rsidR="003563EF" w:rsidRPr="005476B6" w14:paraId="44D3BB03" w14:textId="77777777" w:rsidTr="00AA766B">
        <w:tc>
          <w:tcPr>
            <w:tcW w:w="2243" w:type="dxa"/>
          </w:tcPr>
          <w:p w14:paraId="77248A63" w14:textId="77777777" w:rsidR="003563EF" w:rsidRPr="00051658" w:rsidRDefault="00473235" w:rsidP="001278B6">
            <w:pPr>
              <w:pStyle w:val="TableParagraph"/>
              <w:keepNext/>
              <w:keepLines/>
              <w:widowControl/>
              <w:adjustRightInd w:val="0"/>
              <w:snapToGrid w:val="0"/>
              <w:rPr>
                <w:snapToGrid w:val="0"/>
                <w:sz w:val="20"/>
              </w:rPr>
            </w:pPr>
            <w:r w:rsidRPr="00051658">
              <w:rPr>
                <w:i/>
                <w:snapToGrid w:val="0"/>
                <w:sz w:val="20"/>
              </w:rPr>
              <w:t xml:space="preserve">Hazard </w:t>
            </w:r>
            <w:r w:rsidRPr="00051658">
              <w:rPr>
                <w:snapToGrid w:val="0"/>
                <w:sz w:val="20"/>
              </w:rPr>
              <w:t xml:space="preserve">ratio </w:t>
            </w:r>
            <w:r w:rsidRPr="00051658">
              <w:rPr>
                <w:i/>
                <w:snapToGrid w:val="0"/>
                <w:sz w:val="20"/>
              </w:rPr>
              <w:t xml:space="preserve">vs </w:t>
            </w:r>
            <w:r w:rsidRPr="00051658">
              <w:rPr>
                <w:snapToGrid w:val="0"/>
                <w:sz w:val="20"/>
              </w:rPr>
              <w:t>placebo</w:t>
            </w:r>
            <w:r w:rsidR="004B3750">
              <w:rPr>
                <w:snapToGrid w:val="0"/>
                <w:sz w:val="20"/>
              </w:rPr>
              <w:noBreakHyphen/>
            </w:r>
            <w:r w:rsidRPr="00051658">
              <w:rPr>
                <w:snapToGrid w:val="0"/>
                <w:sz w:val="20"/>
              </w:rPr>
              <w:t xml:space="preserve">arm (95 % </w:t>
            </w:r>
            <w:proofErr w:type="spellStart"/>
            <w:r w:rsidRPr="00051658">
              <w:rPr>
                <w:snapToGrid w:val="0"/>
                <w:sz w:val="20"/>
              </w:rPr>
              <w:t>konfidensinterval</w:t>
            </w:r>
            <w:proofErr w:type="spellEnd"/>
            <w:r w:rsidRPr="00051658">
              <w:rPr>
                <w:snapToGrid w:val="0"/>
                <w:sz w:val="20"/>
              </w:rPr>
              <w:t>)</w:t>
            </w:r>
          </w:p>
        </w:tc>
        <w:tc>
          <w:tcPr>
            <w:tcW w:w="3038" w:type="dxa"/>
            <w:gridSpan w:val="2"/>
          </w:tcPr>
          <w:p w14:paraId="4FDDFF5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0,69 (0,56</w:t>
            </w:r>
            <w:r w:rsidR="004B3750">
              <w:rPr>
                <w:snapToGrid w:val="0"/>
                <w:sz w:val="20"/>
                <w:lang w:val="da-DK"/>
              </w:rPr>
              <w:noBreakHyphen/>
            </w:r>
            <w:r w:rsidRPr="001278B6">
              <w:rPr>
                <w:snapToGrid w:val="0"/>
                <w:sz w:val="20"/>
                <w:lang w:val="da-DK"/>
              </w:rPr>
              <w:t>0,84)</w:t>
            </w:r>
          </w:p>
        </w:tc>
        <w:tc>
          <w:tcPr>
            <w:tcW w:w="3167" w:type="dxa"/>
            <w:gridSpan w:val="2"/>
          </w:tcPr>
          <w:p w14:paraId="129A4EF5"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0,68 (0,54</w:t>
            </w:r>
            <w:r w:rsidR="004B3750">
              <w:rPr>
                <w:snapToGrid w:val="0"/>
                <w:sz w:val="20"/>
                <w:lang w:val="da-DK"/>
              </w:rPr>
              <w:noBreakHyphen/>
            </w:r>
            <w:r w:rsidRPr="001278B6">
              <w:rPr>
                <w:snapToGrid w:val="0"/>
                <w:sz w:val="20"/>
                <w:lang w:val="da-DK"/>
              </w:rPr>
              <w:t>0,86)</w:t>
            </w:r>
          </w:p>
        </w:tc>
      </w:tr>
      <w:tr w:rsidR="003563EF" w:rsidRPr="005476B6" w14:paraId="74A8862D" w14:textId="77777777" w:rsidTr="00AA766B">
        <w:tc>
          <w:tcPr>
            <w:tcW w:w="2243" w:type="dxa"/>
          </w:tcPr>
          <w:p w14:paraId="09BA29CD"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3038" w:type="dxa"/>
            <w:gridSpan w:val="2"/>
          </w:tcPr>
          <w:p w14:paraId="45E24A6E"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0,0002</w:t>
            </w:r>
          </w:p>
        </w:tc>
        <w:tc>
          <w:tcPr>
            <w:tcW w:w="3167" w:type="dxa"/>
            <w:gridSpan w:val="2"/>
          </w:tcPr>
          <w:p w14:paraId="154E3734"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0,0011</w:t>
            </w:r>
          </w:p>
        </w:tc>
      </w:tr>
      <w:tr w:rsidR="003563EF" w:rsidRPr="007E69C7" w14:paraId="5BE0F90E" w14:textId="77777777" w:rsidTr="00AA766B">
        <w:tc>
          <w:tcPr>
            <w:tcW w:w="8448" w:type="dxa"/>
            <w:gridSpan w:val="5"/>
          </w:tcPr>
          <w:p w14:paraId="003066B6"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Responsrate (for patienter med målbar sygdom)</w:t>
            </w:r>
            <w:r w:rsidRPr="001278B6">
              <w:rPr>
                <w:snapToGrid w:val="0"/>
                <w:sz w:val="20"/>
                <w:vertAlign w:val="superscript"/>
                <w:lang w:val="da-DK"/>
              </w:rPr>
              <w:t>b</w:t>
            </w:r>
          </w:p>
        </w:tc>
      </w:tr>
      <w:tr w:rsidR="003563EF" w:rsidRPr="005476B6" w14:paraId="5B05DF36" w14:textId="77777777" w:rsidTr="00AA766B">
        <w:tc>
          <w:tcPr>
            <w:tcW w:w="2243" w:type="dxa"/>
          </w:tcPr>
          <w:p w14:paraId="60BF7CFB" w14:textId="77777777" w:rsidR="003563EF" w:rsidRPr="001278B6" w:rsidRDefault="003563EF" w:rsidP="001278B6">
            <w:pPr>
              <w:pStyle w:val="TableParagraph"/>
              <w:keepNext/>
              <w:keepLines/>
              <w:widowControl/>
              <w:adjustRightInd w:val="0"/>
              <w:snapToGrid w:val="0"/>
              <w:rPr>
                <w:snapToGrid w:val="0"/>
                <w:sz w:val="20"/>
                <w:lang w:val="da-DK"/>
              </w:rPr>
            </w:pPr>
          </w:p>
        </w:tc>
        <w:tc>
          <w:tcPr>
            <w:tcW w:w="3038" w:type="dxa"/>
            <w:gridSpan w:val="2"/>
          </w:tcPr>
          <w:p w14:paraId="2D2A8AD1"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Cap + pl (n=161)</w:t>
            </w:r>
          </w:p>
        </w:tc>
        <w:tc>
          <w:tcPr>
            <w:tcW w:w="3167" w:type="dxa"/>
            <w:gridSpan w:val="2"/>
          </w:tcPr>
          <w:p w14:paraId="541C416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 xml:space="preserve">Cap + </w:t>
            </w:r>
            <w:r w:rsidR="00D8249E">
              <w:rPr>
                <w:snapToGrid w:val="0"/>
                <w:sz w:val="20"/>
                <w:lang w:val="da-DK"/>
              </w:rPr>
              <w:t>Bavacizumab</w:t>
            </w:r>
            <w:r w:rsidRPr="001278B6">
              <w:rPr>
                <w:snapToGrid w:val="0"/>
                <w:sz w:val="20"/>
                <w:lang w:val="da-DK"/>
              </w:rPr>
              <w:t xml:space="preserve"> (n=325)</w:t>
            </w:r>
          </w:p>
        </w:tc>
      </w:tr>
      <w:tr w:rsidR="003563EF" w:rsidRPr="005476B6" w14:paraId="79FAC3E4" w14:textId="77777777" w:rsidTr="00AA766B">
        <w:tc>
          <w:tcPr>
            <w:tcW w:w="2243" w:type="dxa"/>
          </w:tcPr>
          <w:p w14:paraId="0B510FCF"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patienter med objektivt respons</w:t>
            </w:r>
          </w:p>
        </w:tc>
        <w:tc>
          <w:tcPr>
            <w:tcW w:w="3038" w:type="dxa"/>
            <w:gridSpan w:val="2"/>
          </w:tcPr>
          <w:p w14:paraId="3FD82EF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23,6</w:t>
            </w:r>
          </w:p>
        </w:tc>
        <w:tc>
          <w:tcPr>
            <w:tcW w:w="3167" w:type="dxa"/>
            <w:gridSpan w:val="2"/>
          </w:tcPr>
          <w:p w14:paraId="638ED7D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35,4</w:t>
            </w:r>
          </w:p>
        </w:tc>
      </w:tr>
      <w:tr w:rsidR="003563EF" w:rsidRPr="005476B6" w14:paraId="46B8F00C" w14:textId="77777777" w:rsidTr="00AA766B">
        <w:tc>
          <w:tcPr>
            <w:tcW w:w="2243" w:type="dxa"/>
          </w:tcPr>
          <w:p w14:paraId="243A06E7"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6205" w:type="dxa"/>
            <w:gridSpan w:val="4"/>
          </w:tcPr>
          <w:p w14:paraId="6127962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0,0097</w:t>
            </w:r>
          </w:p>
        </w:tc>
      </w:tr>
      <w:tr w:rsidR="003563EF" w:rsidRPr="005476B6" w14:paraId="3E57DE37" w14:textId="77777777" w:rsidTr="00AA766B">
        <w:tc>
          <w:tcPr>
            <w:tcW w:w="8448" w:type="dxa"/>
            <w:gridSpan w:val="5"/>
          </w:tcPr>
          <w:p w14:paraId="3FDDE2F0"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Samlet overlevelse</w:t>
            </w:r>
            <w:r w:rsidRPr="001278B6">
              <w:rPr>
                <w:snapToGrid w:val="0"/>
                <w:sz w:val="20"/>
                <w:vertAlign w:val="superscript"/>
                <w:lang w:val="da-DK"/>
              </w:rPr>
              <w:t>b</w:t>
            </w:r>
          </w:p>
        </w:tc>
      </w:tr>
      <w:tr w:rsidR="003563EF" w:rsidRPr="005476B6" w14:paraId="144DB811" w14:textId="77777777" w:rsidTr="00AA766B">
        <w:tc>
          <w:tcPr>
            <w:tcW w:w="2243" w:type="dxa"/>
          </w:tcPr>
          <w:p w14:paraId="4BF4B354" w14:textId="77777777" w:rsidR="003563EF" w:rsidRPr="001278B6" w:rsidRDefault="00473235" w:rsidP="001278B6">
            <w:pPr>
              <w:pStyle w:val="TableParagraph"/>
              <w:widowControl/>
              <w:adjustRightInd w:val="0"/>
              <w:snapToGrid w:val="0"/>
              <w:rPr>
                <w:snapToGrid w:val="0"/>
                <w:sz w:val="20"/>
                <w:lang w:val="da-DK"/>
              </w:rPr>
            </w:pPr>
            <w:r w:rsidRPr="001278B6">
              <w:rPr>
                <w:i/>
                <w:snapToGrid w:val="0"/>
                <w:sz w:val="20"/>
                <w:lang w:val="da-DK"/>
              </w:rPr>
              <w:t xml:space="preserve">Hazard </w:t>
            </w:r>
            <w:r w:rsidRPr="001278B6">
              <w:rPr>
                <w:snapToGrid w:val="0"/>
                <w:sz w:val="20"/>
                <w:lang w:val="da-DK"/>
              </w:rPr>
              <w:t>ratio (95 %</w:t>
            </w:r>
            <w:r w:rsidR="004A1C34">
              <w:rPr>
                <w:snapToGrid w:val="0"/>
                <w:sz w:val="20"/>
                <w:lang w:val="da-DK"/>
              </w:rPr>
              <w:t xml:space="preserve"> </w:t>
            </w:r>
            <w:r w:rsidRPr="001278B6">
              <w:rPr>
                <w:snapToGrid w:val="0"/>
                <w:sz w:val="20"/>
                <w:lang w:val="da-DK"/>
              </w:rPr>
              <w:t>konfidensinterval)</w:t>
            </w:r>
          </w:p>
        </w:tc>
        <w:tc>
          <w:tcPr>
            <w:tcW w:w="6205" w:type="dxa"/>
            <w:gridSpan w:val="4"/>
          </w:tcPr>
          <w:p w14:paraId="0590851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0,88 (0,69</w:t>
            </w:r>
            <w:r w:rsidR="004B3750">
              <w:rPr>
                <w:snapToGrid w:val="0"/>
                <w:sz w:val="20"/>
                <w:lang w:val="da-DK"/>
              </w:rPr>
              <w:noBreakHyphen/>
            </w:r>
            <w:r w:rsidRPr="001278B6">
              <w:rPr>
                <w:snapToGrid w:val="0"/>
                <w:sz w:val="20"/>
                <w:lang w:val="da-DK"/>
              </w:rPr>
              <w:t>1,13)</w:t>
            </w:r>
          </w:p>
        </w:tc>
      </w:tr>
      <w:tr w:rsidR="003563EF" w:rsidRPr="005476B6" w14:paraId="29255185" w14:textId="77777777" w:rsidTr="00AA766B">
        <w:tc>
          <w:tcPr>
            <w:tcW w:w="2243" w:type="dxa"/>
          </w:tcPr>
          <w:p w14:paraId="049B2451"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(eksplorativ)</w:t>
            </w:r>
          </w:p>
        </w:tc>
        <w:tc>
          <w:tcPr>
            <w:tcW w:w="6205" w:type="dxa"/>
            <w:gridSpan w:val="4"/>
          </w:tcPr>
          <w:p w14:paraId="4ECCFD7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0,33</w:t>
            </w:r>
          </w:p>
        </w:tc>
      </w:tr>
    </w:tbl>
    <w:p w14:paraId="17B51C22"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lastRenderedPageBreak/>
        <w:t>a</w:t>
      </w:r>
      <w:r w:rsidRPr="001278B6">
        <w:rPr>
          <w:snapToGrid w:val="0"/>
          <w:sz w:val="18"/>
          <w:szCs w:val="18"/>
          <w:lang w:val="da-DK"/>
        </w:rPr>
        <w:t xml:space="preserve"> 1.000</w:t>
      </w:r>
      <w:r w:rsidR="0074036C">
        <w:rPr>
          <w:snapToGrid w:val="0"/>
          <w:sz w:val="18"/>
          <w:szCs w:val="18"/>
          <w:lang w:val="da-DK"/>
        </w:rPr>
        <w:t> mg</w:t>
      </w:r>
      <w:r w:rsidRPr="001278B6">
        <w:rPr>
          <w:snapToGrid w:val="0"/>
          <w:sz w:val="18"/>
          <w:szCs w:val="18"/>
          <w:lang w:val="da-DK"/>
        </w:rPr>
        <w:t>/m</w:t>
      </w:r>
      <w:r w:rsidRPr="001278B6">
        <w:rPr>
          <w:snapToGrid w:val="0"/>
          <w:sz w:val="18"/>
          <w:szCs w:val="18"/>
          <w:vertAlign w:val="superscript"/>
          <w:lang w:val="da-DK"/>
        </w:rPr>
        <w:t>2</w:t>
      </w:r>
      <w:r w:rsidRPr="001278B6">
        <w:rPr>
          <w:snapToGrid w:val="0"/>
          <w:sz w:val="18"/>
          <w:szCs w:val="18"/>
          <w:lang w:val="da-DK"/>
        </w:rPr>
        <w:t xml:space="preserve"> oralt to gange dagligt i 14 dage administreret hver 3. uge</w:t>
      </w:r>
    </w:p>
    <w:p w14:paraId="1A04FC67"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Stratificeret analyse, som indeholdt alle hændelser for progression og død bortset fra dem, hvor non</w:t>
      </w:r>
      <w:r w:rsidR="004B3750">
        <w:rPr>
          <w:snapToGrid w:val="0"/>
          <w:sz w:val="18"/>
          <w:szCs w:val="18"/>
          <w:lang w:val="da-DK"/>
        </w:rPr>
        <w:noBreakHyphen/>
      </w:r>
      <w:r w:rsidRPr="001278B6">
        <w:rPr>
          <w:snapToGrid w:val="0"/>
          <w:sz w:val="18"/>
          <w:szCs w:val="18"/>
          <w:lang w:val="da-DK"/>
        </w:rPr>
        <w:t>protokolleret terapi (NPT) blev startet inden dokumenteret progression. Data fra disse patienter blev censored ved sidste tumorvurdering inden start af NPT.</w:t>
      </w:r>
    </w:p>
    <w:p w14:paraId="4C53A9CC" w14:textId="77777777" w:rsidR="003563EF" w:rsidRPr="001278B6" w:rsidRDefault="003563EF" w:rsidP="001278B6">
      <w:pPr>
        <w:pStyle w:val="a3"/>
        <w:widowControl/>
        <w:adjustRightInd w:val="0"/>
        <w:snapToGrid w:val="0"/>
        <w:rPr>
          <w:snapToGrid w:val="0"/>
          <w:lang w:val="da-DK"/>
        </w:rPr>
      </w:pPr>
    </w:p>
    <w:p w14:paraId="40A5E1A8" w14:textId="77777777" w:rsidR="003563EF" w:rsidRPr="001278B6" w:rsidRDefault="00473235" w:rsidP="001278B6">
      <w:pPr>
        <w:pStyle w:val="a3"/>
        <w:widowControl/>
        <w:adjustRightInd w:val="0"/>
        <w:snapToGrid w:val="0"/>
        <w:rPr>
          <w:snapToGrid w:val="0"/>
          <w:lang w:val="da-DK"/>
        </w:rPr>
      </w:pPr>
      <w:r w:rsidRPr="001278B6">
        <w:rPr>
          <w:snapToGrid w:val="0"/>
          <w:lang w:val="da-DK"/>
        </w:rPr>
        <w:t>Der blev udført en ustratificeret analyse af PFS (vurderet af investigator), som ikke var censored for non</w:t>
      </w:r>
      <w:r w:rsidR="004B3750">
        <w:rPr>
          <w:snapToGrid w:val="0"/>
          <w:lang w:val="da-DK"/>
        </w:rPr>
        <w:noBreakHyphen/>
      </w:r>
      <w:r w:rsidRPr="001278B6">
        <w:rPr>
          <w:snapToGrid w:val="0"/>
          <w:lang w:val="da-DK"/>
        </w:rPr>
        <w:t>protokolleret terapi inden sygdomsprogression. Resultaterne af disse analyser var meget lig de primære resultater for PFS.</w:t>
      </w:r>
    </w:p>
    <w:p w14:paraId="36CECF1C" w14:textId="77777777" w:rsidR="003563EF" w:rsidRPr="001278B6" w:rsidRDefault="003563EF" w:rsidP="001278B6">
      <w:pPr>
        <w:pStyle w:val="a3"/>
        <w:widowControl/>
        <w:adjustRightInd w:val="0"/>
        <w:snapToGrid w:val="0"/>
        <w:rPr>
          <w:snapToGrid w:val="0"/>
          <w:lang w:val="da-DK"/>
        </w:rPr>
      </w:pPr>
    </w:p>
    <w:p w14:paraId="36EC4049"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Ikke</w:t>
      </w:r>
      <w:r w:rsidR="004B3750">
        <w:rPr>
          <w:i/>
          <w:snapToGrid w:val="0"/>
          <w:u w:val="single"/>
          <w:lang w:val="da-DK"/>
        </w:rPr>
        <w:noBreakHyphen/>
      </w:r>
      <w:r w:rsidRPr="001278B6">
        <w:rPr>
          <w:i/>
          <w:snapToGrid w:val="0"/>
          <w:u w:val="single"/>
          <w:lang w:val="da-DK"/>
        </w:rPr>
        <w:t>småcellet lungekræft (NSCLC)</w:t>
      </w:r>
    </w:p>
    <w:p w14:paraId="206B0591" w14:textId="77777777" w:rsidR="003563EF" w:rsidRPr="001278B6" w:rsidRDefault="003563EF" w:rsidP="001278B6">
      <w:pPr>
        <w:pStyle w:val="a3"/>
        <w:keepNext/>
        <w:keepLines/>
        <w:widowControl/>
        <w:adjustRightInd w:val="0"/>
        <w:snapToGrid w:val="0"/>
        <w:rPr>
          <w:i/>
          <w:snapToGrid w:val="0"/>
          <w:lang w:val="da-DK"/>
        </w:rPr>
      </w:pPr>
    </w:p>
    <w:p w14:paraId="44C1455F"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1.</w:t>
      </w:r>
      <w:r w:rsidR="004B3750">
        <w:rPr>
          <w:i/>
          <w:snapToGrid w:val="0"/>
          <w:lang w:val="da-DK"/>
        </w:rPr>
        <w:noBreakHyphen/>
      </w:r>
      <w:r w:rsidRPr="001278B6">
        <w:rPr>
          <w:i/>
          <w:snapToGrid w:val="0"/>
          <w:lang w:val="da-DK"/>
        </w:rPr>
        <w:t>linjebehandling af ikke</w:t>
      </w:r>
      <w:r w:rsidR="004B3750">
        <w:rPr>
          <w:i/>
          <w:snapToGrid w:val="0"/>
          <w:lang w:val="da-DK"/>
        </w:rPr>
        <w:noBreakHyphen/>
      </w:r>
      <w:r w:rsidRPr="001278B6">
        <w:rPr>
          <w:i/>
          <w:snapToGrid w:val="0"/>
          <w:lang w:val="da-DK"/>
        </w:rPr>
        <w:t>planocellulær NSCLC i kombination med platinbaseret kemoterapi</w:t>
      </w:r>
    </w:p>
    <w:p w14:paraId="458F221B" w14:textId="77777777" w:rsidR="003563EF" w:rsidRPr="001278B6" w:rsidRDefault="003563EF" w:rsidP="001278B6">
      <w:pPr>
        <w:pStyle w:val="a3"/>
        <w:keepNext/>
        <w:keepLines/>
        <w:widowControl/>
        <w:adjustRightInd w:val="0"/>
        <w:snapToGrid w:val="0"/>
        <w:rPr>
          <w:i/>
          <w:snapToGrid w:val="0"/>
          <w:lang w:val="da-DK"/>
        </w:rPr>
      </w:pPr>
    </w:p>
    <w:p w14:paraId="1F1C426C" w14:textId="32D40F01" w:rsidR="003563EF" w:rsidRPr="001278B6" w:rsidRDefault="00473235" w:rsidP="001278B6">
      <w:pPr>
        <w:pStyle w:val="a3"/>
        <w:widowControl/>
        <w:adjustRightInd w:val="0"/>
        <w:snapToGrid w:val="0"/>
        <w:rPr>
          <w:snapToGrid w:val="0"/>
          <w:lang w:val="da-DK"/>
        </w:rPr>
      </w:pPr>
      <w:r w:rsidRPr="001278B6">
        <w:rPr>
          <w:snapToGrid w:val="0"/>
          <w:lang w:val="da-DK"/>
        </w:rPr>
        <w:t xml:space="preserve">Sikkerheden og effekten af </w:t>
      </w:r>
      <w:r w:rsidR="00D8249E">
        <w:rPr>
          <w:snapToGrid w:val="0"/>
          <w:lang w:val="da-DK"/>
        </w:rPr>
        <w:t>bevacizumab</w:t>
      </w:r>
      <w:r w:rsidRPr="001278B6">
        <w:rPr>
          <w:snapToGrid w:val="0"/>
          <w:lang w:val="da-DK"/>
        </w:rPr>
        <w:t>, i kombination med platinbaseret kemoterapi, til 1.</w:t>
      </w:r>
      <w:r w:rsidR="004B3750">
        <w:rPr>
          <w:snapToGrid w:val="0"/>
          <w:lang w:val="da-DK"/>
        </w:rPr>
        <w:noBreakHyphen/>
      </w:r>
      <w:r w:rsidRPr="001278B6">
        <w:rPr>
          <w:snapToGrid w:val="0"/>
          <w:lang w:val="da-DK"/>
        </w:rPr>
        <w:t>linjebehandling af patienter med ikke</w:t>
      </w:r>
      <w:r w:rsidR="004B3750">
        <w:rPr>
          <w:snapToGrid w:val="0"/>
          <w:lang w:val="da-DK"/>
        </w:rPr>
        <w:noBreakHyphen/>
      </w:r>
      <w:r w:rsidRPr="001278B6">
        <w:rPr>
          <w:snapToGrid w:val="0"/>
          <w:lang w:val="da-DK"/>
        </w:rPr>
        <w:t xml:space="preserve">planocellulær NSCLC, blev undersøgt i studierne E4599 og BO17704. </w:t>
      </w:r>
      <w:r w:rsidR="003A616F">
        <w:rPr>
          <w:snapToGrid w:val="0"/>
          <w:lang w:val="da-DK"/>
        </w:rPr>
        <w:t>OS</w:t>
      </w:r>
      <w:r w:rsidRPr="001278B6">
        <w:rPr>
          <w:snapToGrid w:val="0"/>
          <w:lang w:val="da-DK"/>
        </w:rPr>
        <w:t xml:space="preserve"> er vist i studie E4599 med en dosering af bevacizumab på 15</w:t>
      </w:r>
      <w:r w:rsidR="000C580E">
        <w:rPr>
          <w:snapToGrid w:val="0"/>
          <w:lang w:val="da-DK"/>
        </w:rPr>
        <w:t> </w:t>
      </w:r>
      <w:r w:rsidRPr="001278B6">
        <w:rPr>
          <w:snapToGrid w:val="0"/>
          <w:lang w:val="da-DK"/>
        </w:rPr>
        <w:t>mg/kg legemsvægt hver 3. uge. Studie BO17704 har vist, at bevacizumab givet som både 7,5</w:t>
      </w:r>
      <w:r w:rsidR="00291200">
        <w:rPr>
          <w:snapToGrid w:val="0"/>
          <w:lang w:val="da-DK"/>
        </w:rPr>
        <w:t> </w:t>
      </w:r>
      <w:r w:rsidRPr="001278B6">
        <w:rPr>
          <w:snapToGrid w:val="0"/>
          <w:lang w:val="da-DK"/>
        </w:rPr>
        <w:t>mg/kg legemsvægt hver 3. uge og 15</w:t>
      </w:r>
      <w:r w:rsidR="0074036C">
        <w:rPr>
          <w:snapToGrid w:val="0"/>
          <w:lang w:val="da-DK"/>
        </w:rPr>
        <w:t> mg</w:t>
      </w:r>
      <w:r w:rsidRPr="001278B6">
        <w:rPr>
          <w:snapToGrid w:val="0"/>
          <w:lang w:val="da-DK"/>
        </w:rPr>
        <w:t xml:space="preserve">/kg legemsvægt hver 3. uge øger </w:t>
      </w:r>
      <w:r w:rsidR="003A616F">
        <w:rPr>
          <w:snapToGrid w:val="0"/>
          <w:lang w:val="da-DK"/>
        </w:rPr>
        <w:t>PFS</w:t>
      </w:r>
      <w:r w:rsidRPr="001278B6">
        <w:rPr>
          <w:snapToGrid w:val="0"/>
          <w:lang w:val="da-DK"/>
        </w:rPr>
        <w:t xml:space="preserve"> og responsraten.</w:t>
      </w:r>
    </w:p>
    <w:p w14:paraId="1A2CF032" w14:textId="77777777" w:rsidR="0079124A" w:rsidRPr="001278B6" w:rsidRDefault="0079124A" w:rsidP="001278B6">
      <w:pPr>
        <w:widowControl/>
        <w:adjustRightInd w:val="0"/>
        <w:snapToGrid w:val="0"/>
        <w:rPr>
          <w:snapToGrid w:val="0"/>
          <w:lang w:val="da-DK"/>
        </w:rPr>
      </w:pPr>
    </w:p>
    <w:p w14:paraId="4907622A"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E4599</w:t>
      </w:r>
    </w:p>
    <w:p w14:paraId="3B4DC158"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Studie E4599 var et åbent, randomiseret, aktivt kontrolleret, multicenter klinisk studie til evaluering af </w:t>
      </w:r>
      <w:r w:rsidR="00D8249E">
        <w:rPr>
          <w:snapToGrid w:val="0"/>
          <w:lang w:val="da-DK"/>
        </w:rPr>
        <w:t>bevacizumab</w:t>
      </w:r>
      <w:r w:rsidRPr="001278B6">
        <w:rPr>
          <w:snapToGrid w:val="0"/>
          <w:lang w:val="da-DK"/>
        </w:rPr>
        <w:t xml:space="preserve"> som 1.</w:t>
      </w:r>
      <w:r w:rsidR="004B3750">
        <w:rPr>
          <w:snapToGrid w:val="0"/>
          <w:lang w:val="da-DK"/>
        </w:rPr>
        <w:noBreakHyphen/>
      </w:r>
      <w:r w:rsidRPr="001278B6">
        <w:rPr>
          <w:snapToGrid w:val="0"/>
          <w:lang w:val="da-DK"/>
        </w:rPr>
        <w:t>linjebehandling af patienter med lokal fremskreden (stadie IIIb med malignt pleural effusion), metastatisk eller recidiverende NSCLC, der ikke har dominerende planocellulær histologi.</w:t>
      </w:r>
    </w:p>
    <w:p w14:paraId="30FF2FE0" w14:textId="77777777" w:rsidR="003563EF" w:rsidRPr="001278B6" w:rsidRDefault="003563EF" w:rsidP="001278B6">
      <w:pPr>
        <w:pStyle w:val="a3"/>
        <w:widowControl/>
        <w:adjustRightInd w:val="0"/>
        <w:snapToGrid w:val="0"/>
        <w:rPr>
          <w:snapToGrid w:val="0"/>
          <w:lang w:val="da-DK"/>
        </w:rPr>
      </w:pPr>
    </w:p>
    <w:p w14:paraId="48DC7539" w14:textId="77777777" w:rsidR="003563EF" w:rsidRPr="001278B6" w:rsidRDefault="00473235" w:rsidP="001278B6">
      <w:pPr>
        <w:pStyle w:val="a3"/>
        <w:widowControl/>
        <w:adjustRightInd w:val="0"/>
        <w:snapToGrid w:val="0"/>
        <w:rPr>
          <w:snapToGrid w:val="0"/>
          <w:lang w:val="da-DK"/>
        </w:rPr>
      </w:pPr>
      <w:r w:rsidRPr="001278B6">
        <w:rPr>
          <w:snapToGrid w:val="0"/>
          <w:lang w:val="da-DK"/>
        </w:rPr>
        <w:t>Patienter blev randomiseret til platinbaseret kemoterapi (paclitaxel 200</w:t>
      </w:r>
      <w:r w:rsidR="0074036C">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og carboplatin AUC</w:t>
      </w:r>
      <w:r w:rsidR="005943F5">
        <w:rPr>
          <w:snapToGrid w:val="0"/>
          <w:lang w:val="da-DK"/>
        </w:rPr>
        <w:t> </w:t>
      </w:r>
      <w:r w:rsidRPr="001278B6">
        <w:rPr>
          <w:snapToGrid w:val="0"/>
          <w:lang w:val="da-DK"/>
        </w:rPr>
        <w:t>=</w:t>
      </w:r>
      <w:r w:rsidR="005943F5">
        <w:rPr>
          <w:snapToGrid w:val="0"/>
          <w:lang w:val="da-DK"/>
        </w:rPr>
        <w:t> </w:t>
      </w:r>
      <w:r w:rsidRPr="001278B6">
        <w:rPr>
          <w:snapToGrid w:val="0"/>
          <w:lang w:val="da-DK"/>
        </w:rPr>
        <w:t>6,0, begge som i</w:t>
      </w:r>
      <w:r w:rsidR="00D8249E">
        <w:rPr>
          <w:snapToGrid w:val="0"/>
          <w:lang w:val="da-DK"/>
        </w:rPr>
        <w:t xml:space="preserve">ntravenøs </w:t>
      </w:r>
      <w:r w:rsidRPr="001278B6">
        <w:rPr>
          <w:snapToGrid w:val="0"/>
          <w:lang w:val="da-DK"/>
        </w:rPr>
        <w:t>infusion) (PC) på dag 1 af hver 3</w:t>
      </w:r>
      <w:r w:rsidR="004B3750">
        <w:rPr>
          <w:snapToGrid w:val="0"/>
          <w:lang w:val="da-DK"/>
        </w:rPr>
        <w:noBreakHyphen/>
      </w:r>
      <w:r w:rsidRPr="001278B6">
        <w:rPr>
          <w:snapToGrid w:val="0"/>
          <w:lang w:val="da-DK"/>
        </w:rPr>
        <w:t>ugers serie i op til 6 serier eller PC i</w:t>
      </w:r>
      <w:r w:rsidR="005943F5">
        <w:rPr>
          <w:snapToGrid w:val="0"/>
          <w:lang w:val="da-DK"/>
        </w:rPr>
        <w:t xml:space="preserve"> </w:t>
      </w:r>
      <w:r w:rsidRPr="001278B6">
        <w:rPr>
          <w:snapToGrid w:val="0"/>
          <w:lang w:val="da-DK"/>
        </w:rPr>
        <w:t xml:space="preserve">kombination med </w:t>
      </w:r>
      <w:r w:rsidR="00D8249E">
        <w:rPr>
          <w:snapToGrid w:val="0"/>
          <w:lang w:val="da-DK"/>
        </w:rPr>
        <w:t>bevacizumab</w:t>
      </w:r>
      <w:r w:rsidRPr="001278B6">
        <w:rPr>
          <w:snapToGrid w:val="0"/>
          <w:lang w:val="da-DK"/>
        </w:rPr>
        <w:t xml:space="preserve"> med en dosis på 15</w:t>
      </w:r>
      <w:r w:rsidR="0074036C">
        <w:rPr>
          <w:snapToGrid w:val="0"/>
          <w:lang w:val="da-DK"/>
        </w:rPr>
        <w:t> mg</w:t>
      </w:r>
      <w:r w:rsidRPr="001278B6">
        <w:rPr>
          <w:snapToGrid w:val="0"/>
          <w:lang w:val="da-DK"/>
        </w:rPr>
        <w:t>/kg i</w:t>
      </w:r>
      <w:r w:rsidR="00D8249E">
        <w:rPr>
          <w:snapToGrid w:val="0"/>
          <w:lang w:val="da-DK"/>
        </w:rPr>
        <w:t xml:space="preserve">ntravenøs </w:t>
      </w:r>
      <w:r w:rsidRPr="001278B6">
        <w:rPr>
          <w:snapToGrid w:val="0"/>
          <w:lang w:val="da-DK"/>
        </w:rPr>
        <w:t>infusion på dag 1 af hver 3</w:t>
      </w:r>
      <w:r w:rsidR="004B3750">
        <w:rPr>
          <w:snapToGrid w:val="0"/>
          <w:lang w:val="da-DK"/>
        </w:rPr>
        <w:noBreakHyphen/>
      </w:r>
      <w:r w:rsidRPr="001278B6">
        <w:rPr>
          <w:snapToGrid w:val="0"/>
          <w:lang w:val="da-DK"/>
        </w:rPr>
        <w:t>ugers serie. Efter afslutning af 6 serier kemoterapi med carboplatin</w:t>
      </w:r>
      <w:r w:rsidR="004B3750">
        <w:rPr>
          <w:snapToGrid w:val="0"/>
          <w:lang w:val="da-DK"/>
        </w:rPr>
        <w:noBreakHyphen/>
      </w:r>
      <w:r w:rsidRPr="001278B6">
        <w:rPr>
          <w:snapToGrid w:val="0"/>
          <w:lang w:val="da-DK"/>
        </w:rPr>
        <w:t xml:space="preserve">paclitaxel eller efter for tidlig seponering af kemoterapi, fortsatte patienter, der fik </w:t>
      </w:r>
      <w:r w:rsidR="00D8249E">
        <w:rPr>
          <w:snapToGrid w:val="0"/>
          <w:lang w:val="da-DK"/>
        </w:rPr>
        <w:t>bevacizumab</w:t>
      </w:r>
      <w:r w:rsidRPr="001278B6">
        <w:rPr>
          <w:snapToGrid w:val="0"/>
          <w:lang w:val="da-DK"/>
        </w:rPr>
        <w:t xml:space="preserve"> + carpoplatin</w:t>
      </w:r>
      <w:r w:rsidR="004B3750">
        <w:rPr>
          <w:snapToGrid w:val="0"/>
          <w:lang w:val="da-DK"/>
        </w:rPr>
        <w:noBreakHyphen/>
      </w:r>
      <w:r w:rsidRPr="001278B6">
        <w:rPr>
          <w:snapToGrid w:val="0"/>
          <w:lang w:val="da-DK"/>
        </w:rPr>
        <w:t xml:space="preserve">paclitaxel, med at få </w:t>
      </w:r>
      <w:r w:rsidR="00D8249E">
        <w:rPr>
          <w:snapToGrid w:val="0"/>
          <w:lang w:val="da-DK"/>
        </w:rPr>
        <w:t>bevacizumab</w:t>
      </w:r>
      <w:r w:rsidRPr="001278B6">
        <w:rPr>
          <w:snapToGrid w:val="0"/>
          <w:lang w:val="da-DK"/>
        </w:rPr>
        <w:t xml:space="preserve"> som enkeltstofbehandling hver 3. uge indtil sygdomsprogression. 878 patienter blev randomiseret i de to arme.</w:t>
      </w:r>
    </w:p>
    <w:p w14:paraId="4C89E52C" w14:textId="77777777" w:rsidR="003563EF" w:rsidRPr="001278B6" w:rsidRDefault="003563EF" w:rsidP="001278B6">
      <w:pPr>
        <w:pStyle w:val="a3"/>
        <w:widowControl/>
        <w:adjustRightInd w:val="0"/>
        <w:snapToGrid w:val="0"/>
        <w:rPr>
          <w:snapToGrid w:val="0"/>
          <w:lang w:val="da-DK"/>
        </w:rPr>
      </w:pPr>
    </w:p>
    <w:p w14:paraId="61299E2D" w14:textId="77777777" w:rsidR="003563EF" w:rsidRPr="001278B6" w:rsidRDefault="00473235" w:rsidP="001278B6">
      <w:pPr>
        <w:pStyle w:val="a3"/>
        <w:widowControl/>
        <w:adjustRightInd w:val="0"/>
        <w:snapToGrid w:val="0"/>
        <w:rPr>
          <w:snapToGrid w:val="0"/>
          <w:lang w:val="da-DK"/>
        </w:rPr>
      </w:pPr>
      <w:r w:rsidRPr="001278B6">
        <w:rPr>
          <w:snapToGrid w:val="0"/>
          <w:lang w:val="da-DK"/>
        </w:rPr>
        <w:t>Af de patienter, der i løbet af studiet modtog studiebehandling, modtog 32,2 % (136/422) af patienterne 7</w:t>
      </w:r>
      <w:r w:rsidR="004B3750">
        <w:rPr>
          <w:snapToGrid w:val="0"/>
          <w:lang w:val="da-DK"/>
        </w:rPr>
        <w:noBreakHyphen/>
      </w:r>
      <w:r w:rsidRPr="001278B6">
        <w:rPr>
          <w:snapToGrid w:val="0"/>
          <w:lang w:val="da-DK"/>
        </w:rPr>
        <w:t xml:space="preserve">12 administrationer af </w:t>
      </w:r>
      <w:r w:rsidR="00D8249E">
        <w:rPr>
          <w:snapToGrid w:val="0"/>
          <w:lang w:val="da-DK"/>
        </w:rPr>
        <w:t>bevacizumab</w:t>
      </w:r>
      <w:r w:rsidRPr="001278B6">
        <w:rPr>
          <w:snapToGrid w:val="0"/>
          <w:lang w:val="da-DK"/>
        </w:rPr>
        <w:t xml:space="preserve">, og 21,1 % (89/422) af patienterne modtog 13 eller flere administrationer af </w:t>
      </w:r>
      <w:r w:rsidR="00D8249E">
        <w:rPr>
          <w:snapToGrid w:val="0"/>
          <w:lang w:val="da-DK"/>
        </w:rPr>
        <w:t>bevacizumab</w:t>
      </w:r>
      <w:r w:rsidRPr="001278B6">
        <w:rPr>
          <w:snapToGrid w:val="0"/>
          <w:lang w:val="da-DK"/>
        </w:rPr>
        <w:t>.</w:t>
      </w:r>
    </w:p>
    <w:p w14:paraId="14A61258" w14:textId="77777777" w:rsidR="003563EF" w:rsidRPr="001278B6" w:rsidRDefault="003563EF" w:rsidP="001278B6">
      <w:pPr>
        <w:pStyle w:val="a3"/>
        <w:widowControl/>
        <w:adjustRightInd w:val="0"/>
        <w:snapToGrid w:val="0"/>
        <w:rPr>
          <w:snapToGrid w:val="0"/>
          <w:lang w:val="da-DK"/>
        </w:rPr>
      </w:pPr>
    </w:p>
    <w:p w14:paraId="421A8652" w14:textId="77777777" w:rsidR="003563EF" w:rsidRPr="001278B6" w:rsidRDefault="00473235" w:rsidP="001278B6">
      <w:pPr>
        <w:pStyle w:val="a3"/>
        <w:widowControl/>
        <w:adjustRightInd w:val="0"/>
        <w:snapToGrid w:val="0"/>
        <w:rPr>
          <w:snapToGrid w:val="0"/>
          <w:lang w:val="da-DK"/>
        </w:rPr>
      </w:pPr>
      <w:r w:rsidRPr="001278B6">
        <w:rPr>
          <w:snapToGrid w:val="0"/>
          <w:lang w:val="da-DK"/>
        </w:rPr>
        <w:t>Det primære endepunkt var varigheden af overlevelse. Resultaterne er præsenteret i tabel 12.</w:t>
      </w:r>
    </w:p>
    <w:p w14:paraId="0E9FD527" w14:textId="77777777" w:rsidR="003563EF" w:rsidRPr="001278B6" w:rsidRDefault="003563EF" w:rsidP="001278B6">
      <w:pPr>
        <w:pStyle w:val="a3"/>
        <w:widowControl/>
        <w:adjustRightInd w:val="0"/>
        <w:snapToGrid w:val="0"/>
        <w:rPr>
          <w:snapToGrid w:val="0"/>
          <w:lang w:val="da-DK"/>
        </w:rPr>
      </w:pPr>
    </w:p>
    <w:p w14:paraId="24C0F915" w14:textId="77777777" w:rsidR="003563EF" w:rsidRPr="00BB1BD4" w:rsidRDefault="00473235" w:rsidP="00BB1BD4">
      <w:pPr>
        <w:ind w:left="1134" w:hanging="1134"/>
        <w:rPr>
          <w:b/>
          <w:bCs/>
          <w:snapToGrid w:val="0"/>
          <w:lang w:val="da-DK"/>
        </w:rPr>
      </w:pPr>
      <w:r w:rsidRPr="00BB1BD4">
        <w:rPr>
          <w:b/>
          <w:bCs/>
          <w:snapToGrid w:val="0"/>
          <w:lang w:val="da-DK"/>
        </w:rPr>
        <w:t>Tabel 12.</w:t>
      </w:r>
      <w:r w:rsidRPr="00BB1BD4">
        <w:rPr>
          <w:b/>
          <w:bCs/>
          <w:snapToGrid w:val="0"/>
          <w:lang w:val="da-DK"/>
        </w:rPr>
        <w:tab/>
        <w:t>Effektresultater fra studie E4599</w:t>
      </w:r>
    </w:p>
    <w:p w14:paraId="1A207226"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3"/>
        <w:gridCol w:w="2587"/>
        <w:gridCol w:w="3156"/>
      </w:tblGrid>
      <w:tr w:rsidR="003563EF" w:rsidRPr="007E69C7" w14:paraId="128930DE" w14:textId="77777777" w:rsidTr="00AA766B">
        <w:tc>
          <w:tcPr>
            <w:tcW w:w="2458" w:type="dxa"/>
          </w:tcPr>
          <w:p w14:paraId="69C7D546" w14:textId="77777777" w:rsidR="003563EF" w:rsidRPr="001278B6" w:rsidRDefault="003563EF" w:rsidP="001278B6">
            <w:pPr>
              <w:pStyle w:val="TableParagraph"/>
              <w:keepNext/>
              <w:keepLines/>
              <w:widowControl/>
              <w:adjustRightInd w:val="0"/>
              <w:snapToGrid w:val="0"/>
              <w:rPr>
                <w:snapToGrid w:val="0"/>
                <w:sz w:val="20"/>
                <w:lang w:val="da-DK"/>
              </w:rPr>
            </w:pPr>
          </w:p>
        </w:tc>
        <w:tc>
          <w:tcPr>
            <w:tcW w:w="1920" w:type="dxa"/>
          </w:tcPr>
          <w:p w14:paraId="324DC47C"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Arm 1</w:t>
            </w:r>
          </w:p>
          <w:p w14:paraId="6C778BA8" w14:textId="77777777" w:rsidR="003563EF" w:rsidRPr="001278B6" w:rsidRDefault="003563EF" w:rsidP="001278B6">
            <w:pPr>
              <w:pStyle w:val="TableParagraph"/>
              <w:keepNext/>
              <w:keepLines/>
              <w:widowControl/>
              <w:adjustRightInd w:val="0"/>
              <w:snapToGrid w:val="0"/>
              <w:jc w:val="center"/>
              <w:rPr>
                <w:b/>
                <w:bCs/>
                <w:snapToGrid w:val="0"/>
                <w:sz w:val="20"/>
                <w:lang w:val="da-DK"/>
              </w:rPr>
            </w:pPr>
          </w:p>
          <w:p w14:paraId="4135983A"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Carboplatin/ Paclitaxel</w:t>
            </w:r>
          </w:p>
        </w:tc>
        <w:tc>
          <w:tcPr>
            <w:tcW w:w="2342" w:type="dxa"/>
          </w:tcPr>
          <w:p w14:paraId="401DCE00" w14:textId="77777777" w:rsidR="004D13B4" w:rsidRDefault="00473235">
            <w:pPr>
              <w:pStyle w:val="TableParagraph"/>
              <w:keepNext/>
              <w:keepLines/>
              <w:widowControl/>
              <w:adjustRightInd w:val="0"/>
              <w:snapToGrid w:val="0"/>
              <w:jc w:val="center"/>
              <w:rPr>
                <w:b/>
                <w:bCs/>
                <w:snapToGrid w:val="0"/>
                <w:sz w:val="20"/>
                <w:lang w:val="da-DK"/>
              </w:rPr>
            </w:pPr>
            <w:r w:rsidRPr="001278B6">
              <w:rPr>
                <w:b/>
                <w:bCs/>
                <w:snapToGrid w:val="0"/>
                <w:sz w:val="20"/>
                <w:lang w:val="da-DK"/>
              </w:rPr>
              <w:t xml:space="preserve">Arm 2 </w:t>
            </w:r>
          </w:p>
          <w:p w14:paraId="5274A32D" w14:textId="77777777" w:rsidR="004D13B4" w:rsidRDefault="004D13B4">
            <w:pPr>
              <w:pStyle w:val="TableParagraph"/>
              <w:keepNext/>
              <w:keepLines/>
              <w:widowControl/>
              <w:adjustRightInd w:val="0"/>
              <w:snapToGrid w:val="0"/>
              <w:jc w:val="center"/>
              <w:rPr>
                <w:b/>
                <w:bCs/>
                <w:snapToGrid w:val="0"/>
                <w:sz w:val="20"/>
                <w:lang w:val="da-DK"/>
              </w:rPr>
            </w:pPr>
          </w:p>
          <w:p w14:paraId="5FA4D2A2"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Carboplatin/ Paclitaxel +</w:t>
            </w:r>
          </w:p>
          <w:p w14:paraId="51317029" w14:textId="77777777" w:rsidR="003563EF" w:rsidRPr="001278B6" w:rsidRDefault="00D8249E" w:rsidP="001278B6">
            <w:pPr>
              <w:pStyle w:val="TableParagraph"/>
              <w:keepNext/>
              <w:keepLines/>
              <w:widowControl/>
              <w:adjustRightInd w:val="0"/>
              <w:snapToGrid w:val="0"/>
              <w:jc w:val="center"/>
              <w:rPr>
                <w:b/>
                <w:bCs/>
                <w:snapToGrid w:val="0"/>
                <w:sz w:val="20"/>
                <w:lang w:val="da-DK"/>
              </w:rPr>
            </w:pPr>
            <w:r>
              <w:rPr>
                <w:b/>
                <w:bCs/>
                <w:snapToGrid w:val="0"/>
                <w:sz w:val="20"/>
                <w:lang w:val="da-DK"/>
              </w:rPr>
              <w:t>Bevacizumab</w:t>
            </w:r>
          </w:p>
          <w:p w14:paraId="70A8B087"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15 mg/kg hver 3. uge</w:t>
            </w:r>
          </w:p>
        </w:tc>
      </w:tr>
      <w:tr w:rsidR="003563EF" w:rsidRPr="005476B6" w14:paraId="59CEAF49" w14:textId="77777777" w:rsidTr="00AA766B">
        <w:tc>
          <w:tcPr>
            <w:tcW w:w="2458" w:type="dxa"/>
            <w:tcBorders>
              <w:bottom w:val="single" w:sz="4" w:space="0" w:color="000000"/>
            </w:tcBorders>
          </w:tcPr>
          <w:p w14:paraId="34247803"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1920" w:type="dxa"/>
            <w:tcBorders>
              <w:bottom w:val="single" w:sz="4" w:space="0" w:color="000000"/>
            </w:tcBorders>
          </w:tcPr>
          <w:p w14:paraId="761CC9E0"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444</w:t>
            </w:r>
          </w:p>
        </w:tc>
        <w:tc>
          <w:tcPr>
            <w:tcW w:w="2342" w:type="dxa"/>
            <w:tcBorders>
              <w:bottom w:val="single" w:sz="4" w:space="0" w:color="000000"/>
            </w:tcBorders>
          </w:tcPr>
          <w:p w14:paraId="49799ED2"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434</w:t>
            </w:r>
          </w:p>
        </w:tc>
      </w:tr>
      <w:tr w:rsidR="003563EF" w:rsidRPr="005476B6" w14:paraId="283DACB0" w14:textId="77777777" w:rsidTr="00AA766B">
        <w:tc>
          <w:tcPr>
            <w:tcW w:w="6720" w:type="dxa"/>
            <w:gridSpan w:val="3"/>
            <w:tcBorders>
              <w:top w:val="single" w:sz="4" w:space="0" w:color="000000"/>
              <w:bottom w:val="single" w:sz="4" w:space="0" w:color="000000"/>
            </w:tcBorders>
          </w:tcPr>
          <w:p w14:paraId="69276AEB"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Samlet overlevelse</w:t>
            </w:r>
          </w:p>
        </w:tc>
      </w:tr>
      <w:tr w:rsidR="003563EF" w:rsidRPr="005476B6" w14:paraId="2032413F" w14:textId="77777777" w:rsidTr="00AA766B">
        <w:tc>
          <w:tcPr>
            <w:tcW w:w="2458" w:type="dxa"/>
            <w:tcBorders>
              <w:top w:val="single" w:sz="4" w:space="0" w:color="000000"/>
              <w:left w:val="single" w:sz="4" w:space="0" w:color="000000"/>
              <w:bottom w:val="single" w:sz="4" w:space="0" w:color="000000"/>
              <w:right w:val="single" w:sz="4" w:space="0" w:color="000000"/>
            </w:tcBorders>
          </w:tcPr>
          <w:p w14:paraId="6116A451"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(måneder)</w:t>
            </w:r>
          </w:p>
        </w:tc>
        <w:tc>
          <w:tcPr>
            <w:tcW w:w="1920" w:type="dxa"/>
            <w:tcBorders>
              <w:top w:val="single" w:sz="4" w:space="0" w:color="000000"/>
              <w:left w:val="single" w:sz="4" w:space="0" w:color="000000"/>
              <w:bottom w:val="single" w:sz="4" w:space="0" w:color="000000"/>
              <w:right w:val="single" w:sz="4" w:space="0" w:color="000000"/>
            </w:tcBorders>
          </w:tcPr>
          <w:p w14:paraId="3CAAA31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10,3</w:t>
            </w:r>
          </w:p>
        </w:tc>
        <w:tc>
          <w:tcPr>
            <w:tcW w:w="2342" w:type="dxa"/>
            <w:tcBorders>
              <w:top w:val="single" w:sz="4" w:space="0" w:color="000000"/>
              <w:left w:val="single" w:sz="4" w:space="0" w:color="000000"/>
              <w:bottom w:val="single" w:sz="4" w:space="0" w:color="000000"/>
              <w:right w:val="single" w:sz="4" w:space="0" w:color="000000"/>
            </w:tcBorders>
          </w:tcPr>
          <w:p w14:paraId="793FD09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12,3</w:t>
            </w:r>
          </w:p>
        </w:tc>
      </w:tr>
      <w:tr w:rsidR="003563EF" w:rsidRPr="005476B6" w14:paraId="476D6CDA" w14:textId="77777777" w:rsidTr="00AA766B">
        <w:tc>
          <w:tcPr>
            <w:tcW w:w="2458" w:type="dxa"/>
            <w:tcBorders>
              <w:top w:val="single" w:sz="4" w:space="0" w:color="000000"/>
              <w:left w:val="single" w:sz="4" w:space="0" w:color="000000"/>
              <w:bottom w:val="single" w:sz="4" w:space="0" w:color="000000"/>
              <w:right w:val="single" w:sz="4" w:space="0" w:color="000000"/>
            </w:tcBorders>
          </w:tcPr>
          <w:p w14:paraId="42FDC243" w14:textId="77777777" w:rsidR="003563EF" w:rsidRPr="00015B05" w:rsidRDefault="00777E66" w:rsidP="001278B6">
            <w:pPr>
              <w:pStyle w:val="TableParagraph"/>
              <w:widowControl/>
              <w:adjustRightInd w:val="0"/>
              <w:snapToGrid w:val="0"/>
              <w:rPr>
                <w:iCs/>
                <w:snapToGrid w:val="0"/>
                <w:sz w:val="20"/>
                <w:lang w:val="da-DK"/>
              </w:rPr>
            </w:pPr>
            <w:r w:rsidRPr="001278B6">
              <w:rPr>
                <w:i/>
                <w:snapToGrid w:val="0"/>
                <w:sz w:val="20"/>
                <w:lang w:val="da-DK"/>
              </w:rPr>
              <w:tab/>
            </w:r>
            <w:r w:rsidR="00473235" w:rsidRPr="00F466A3">
              <w:rPr>
                <w:iCs/>
                <w:snapToGrid w:val="0"/>
                <w:sz w:val="20"/>
                <w:lang w:val="da-DK"/>
              </w:rPr>
              <w:t xml:space="preserve">Hazard </w:t>
            </w:r>
            <w:r w:rsidR="00473235" w:rsidRPr="00015B05">
              <w:rPr>
                <w:iCs/>
                <w:snapToGrid w:val="0"/>
                <w:sz w:val="20"/>
                <w:lang w:val="da-DK"/>
              </w:rPr>
              <w:t>ratio</w:t>
            </w:r>
          </w:p>
        </w:tc>
        <w:tc>
          <w:tcPr>
            <w:tcW w:w="4262" w:type="dxa"/>
            <w:gridSpan w:val="2"/>
            <w:tcBorders>
              <w:top w:val="single" w:sz="4" w:space="0" w:color="000000"/>
              <w:left w:val="single" w:sz="4" w:space="0" w:color="000000"/>
              <w:bottom w:val="single" w:sz="4" w:space="0" w:color="000000"/>
              <w:right w:val="single" w:sz="4" w:space="0" w:color="000000"/>
            </w:tcBorders>
          </w:tcPr>
          <w:p w14:paraId="1C125CE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0,80 (p = 0,003)</w:t>
            </w:r>
          </w:p>
          <w:p w14:paraId="0782FE9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95 % konfidensinterval (0,69</w:t>
            </w:r>
            <w:r w:rsidR="004B3750">
              <w:rPr>
                <w:snapToGrid w:val="0"/>
                <w:sz w:val="20"/>
                <w:lang w:val="da-DK"/>
              </w:rPr>
              <w:noBreakHyphen/>
            </w:r>
            <w:r w:rsidRPr="001278B6">
              <w:rPr>
                <w:snapToGrid w:val="0"/>
                <w:sz w:val="20"/>
                <w:lang w:val="da-DK"/>
              </w:rPr>
              <w:t>0,93)</w:t>
            </w:r>
          </w:p>
        </w:tc>
      </w:tr>
      <w:tr w:rsidR="003563EF" w:rsidRPr="005476B6" w14:paraId="2B4966FB" w14:textId="77777777" w:rsidTr="00AA766B">
        <w:tc>
          <w:tcPr>
            <w:tcW w:w="6720" w:type="dxa"/>
            <w:gridSpan w:val="3"/>
            <w:tcBorders>
              <w:top w:val="single" w:sz="4" w:space="0" w:color="000000"/>
              <w:left w:val="single" w:sz="4" w:space="0" w:color="000000"/>
              <w:bottom w:val="single" w:sz="4" w:space="0" w:color="000000"/>
              <w:right w:val="single" w:sz="4" w:space="0" w:color="000000"/>
            </w:tcBorders>
          </w:tcPr>
          <w:p w14:paraId="4BF5AF0D"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Progressionfri overlevelse</w:t>
            </w:r>
          </w:p>
        </w:tc>
      </w:tr>
      <w:tr w:rsidR="003563EF" w:rsidRPr="005476B6" w14:paraId="46E18CCA" w14:textId="77777777" w:rsidTr="00AA766B">
        <w:tc>
          <w:tcPr>
            <w:tcW w:w="2458" w:type="dxa"/>
            <w:tcBorders>
              <w:top w:val="single" w:sz="4" w:space="0" w:color="000000"/>
              <w:left w:val="single" w:sz="4" w:space="0" w:color="000000"/>
              <w:bottom w:val="single" w:sz="4" w:space="0" w:color="000000"/>
              <w:right w:val="single" w:sz="4" w:space="0" w:color="000000"/>
            </w:tcBorders>
          </w:tcPr>
          <w:p w14:paraId="3A007C2F"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(måneder)</w:t>
            </w:r>
          </w:p>
        </w:tc>
        <w:tc>
          <w:tcPr>
            <w:tcW w:w="1920" w:type="dxa"/>
            <w:tcBorders>
              <w:top w:val="single" w:sz="4" w:space="0" w:color="000000"/>
              <w:left w:val="single" w:sz="4" w:space="0" w:color="000000"/>
              <w:bottom w:val="single" w:sz="4" w:space="0" w:color="000000"/>
              <w:right w:val="single" w:sz="4" w:space="0" w:color="000000"/>
            </w:tcBorders>
          </w:tcPr>
          <w:p w14:paraId="3FA8D81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4,8</w:t>
            </w:r>
          </w:p>
        </w:tc>
        <w:tc>
          <w:tcPr>
            <w:tcW w:w="2342" w:type="dxa"/>
            <w:tcBorders>
              <w:top w:val="single" w:sz="4" w:space="0" w:color="000000"/>
              <w:left w:val="single" w:sz="4" w:space="0" w:color="000000"/>
              <w:bottom w:val="single" w:sz="4" w:space="0" w:color="000000"/>
              <w:right w:val="single" w:sz="4" w:space="0" w:color="000000"/>
            </w:tcBorders>
          </w:tcPr>
          <w:p w14:paraId="4B779D7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6,4</w:t>
            </w:r>
          </w:p>
        </w:tc>
      </w:tr>
      <w:tr w:rsidR="003563EF" w:rsidRPr="005476B6" w14:paraId="24CE3BFA" w14:textId="77777777" w:rsidTr="00AA766B">
        <w:tc>
          <w:tcPr>
            <w:tcW w:w="2458" w:type="dxa"/>
            <w:tcBorders>
              <w:top w:val="single" w:sz="4" w:space="0" w:color="000000"/>
              <w:left w:val="single" w:sz="4" w:space="0" w:color="000000"/>
              <w:bottom w:val="single" w:sz="4" w:space="0" w:color="000000"/>
              <w:right w:val="single" w:sz="4" w:space="0" w:color="000000"/>
            </w:tcBorders>
          </w:tcPr>
          <w:p w14:paraId="55E30D0E" w14:textId="77777777" w:rsidR="003563EF" w:rsidRPr="001278B6" w:rsidRDefault="00777E66" w:rsidP="001278B6">
            <w:pPr>
              <w:pStyle w:val="TableParagraph"/>
              <w:widowControl/>
              <w:adjustRightInd w:val="0"/>
              <w:snapToGrid w:val="0"/>
              <w:rPr>
                <w:snapToGrid w:val="0"/>
                <w:sz w:val="20"/>
                <w:lang w:val="da-DK"/>
              </w:rPr>
            </w:pPr>
            <w:r w:rsidRPr="001278B6">
              <w:rPr>
                <w:i/>
                <w:snapToGrid w:val="0"/>
                <w:sz w:val="20"/>
                <w:lang w:val="da-DK"/>
              </w:rPr>
              <w:tab/>
            </w:r>
            <w:r w:rsidR="00473235" w:rsidRPr="00F466A3">
              <w:rPr>
                <w:iCs/>
                <w:snapToGrid w:val="0"/>
                <w:sz w:val="20"/>
                <w:lang w:val="da-DK"/>
              </w:rPr>
              <w:t>Hazard</w:t>
            </w:r>
            <w:r w:rsidR="00473235" w:rsidRPr="001278B6">
              <w:rPr>
                <w:i/>
                <w:snapToGrid w:val="0"/>
                <w:sz w:val="20"/>
                <w:lang w:val="da-DK"/>
              </w:rPr>
              <w:t xml:space="preserve"> </w:t>
            </w:r>
            <w:r w:rsidR="00473235" w:rsidRPr="001278B6">
              <w:rPr>
                <w:snapToGrid w:val="0"/>
                <w:sz w:val="20"/>
                <w:lang w:val="da-DK"/>
              </w:rPr>
              <w:t>ratio</w:t>
            </w:r>
          </w:p>
        </w:tc>
        <w:tc>
          <w:tcPr>
            <w:tcW w:w="4262" w:type="dxa"/>
            <w:gridSpan w:val="2"/>
            <w:tcBorders>
              <w:top w:val="single" w:sz="4" w:space="0" w:color="000000"/>
              <w:left w:val="single" w:sz="4" w:space="0" w:color="000000"/>
              <w:bottom w:val="single" w:sz="4" w:space="0" w:color="000000"/>
              <w:right w:val="single" w:sz="4" w:space="0" w:color="000000"/>
            </w:tcBorders>
          </w:tcPr>
          <w:p w14:paraId="0278AC9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0,65 (p &lt; 0,0001)</w:t>
            </w:r>
          </w:p>
          <w:p w14:paraId="6A82539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95 % konfidensinterval (0,56</w:t>
            </w:r>
            <w:r w:rsidR="004B3750">
              <w:rPr>
                <w:snapToGrid w:val="0"/>
                <w:sz w:val="20"/>
                <w:lang w:val="da-DK"/>
              </w:rPr>
              <w:noBreakHyphen/>
            </w:r>
            <w:r w:rsidRPr="001278B6">
              <w:rPr>
                <w:snapToGrid w:val="0"/>
                <w:sz w:val="20"/>
                <w:lang w:val="da-DK"/>
              </w:rPr>
              <w:t>0,76)</w:t>
            </w:r>
          </w:p>
        </w:tc>
      </w:tr>
      <w:tr w:rsidR="003563EF" w:rsidRPr="005476B6" w14:paraId="1D3F10CE" w14:textId="77777777" w:rsidTr="00AA766B">
        <w:tc>
          <w:tcPr>
            <w:tcW w:w="6720" w:type="dxa"/>
            <w:gridSpan w:val="3"/>
            <w:tcBorders>
              <w:top w:val="single" w:sz="4" w:space="0" w:color="000000"/>
              <w:left w:val="single" w:sz="4" w:space="0" w:color="000000"/>
              <w:bottom w:val="single" w:sz="4" w:space="0" w:color="000000"/>
              <w:right w:val="single" w:sz="4" w:space="0" w:color="000000"/>
            </w:tcBorders>
          </w:tcPr>
          <w:p w14:paraId="16DFA80F"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Samlet responsrate</w:t>
            </w:r>
          </w:p>
        </w:tc>
      </w:tr>
      <w:tr w:rsidR="003563EF" w:rsidRPr="005476B6" w14:paraId="734A2CEE" w14:textId="77777777" w:rsidTr="00AA766B">
        <w:tc>
          <w:tcPr>
            <w:tcW w:w="2458" w:type="dxa"/>
            <w:tcBorders>
              <w:top w:val="single" w:sz="4" w:space="0" w:color="000000"/>
              <w:left w:val="single" w:sz="4" w:space="0" w:color="000000"/>
              <w:bottom w:val="single" w:sz="4" w:space="0" w:color="000000"/>
              <w:right w:val="single" w:sz="4" w:space="0" w:color="000000"/>
            </w:tcBorders>
          </w:tcPr>
          <w:p w14:paraId="17748202" w14:textId="77777777" w:rsidR="003563EF" w:rsidRPr="001278B6" w:rsidRDefault="00777E66"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Rate (procent)</w:t>
            </w:r>
          </w:p>
        </w:tc>
        <w:tc>
          <w:tcPr>
            <w:tcW w:w="1920" w:type="dxa"/>
            <w:tcBorders>
              <w:top w:val="single" w:sz="4" w:space="0" w:color="000000"/>
              <w:left w:val="single" w:sz="4" w:space="0" w:color="000000"/>
              <w:bottom w:val="single" w:sz="4" w:space="0" w:color="000000"/>
              <w:right w:val="single" w:sz="4" w:space="0" w:color="000000"/>
            </w:tcBorders>
          </w:tcPr>
          <w:p w14:paraId="6BAC520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12,9</w:t>
            </w:r>
          </w:p>
        </w:tc>
        <w:tc>
          <w:tcPr>
            <w:tcW w:w="2342" w:type="dxa"/>
            <w:tcBorders>
              <w:top w:val="single" w:sz="4" w:space="0" w:color="000000"/>
              <w:left w:val="single" w:sz="4" w:space="0" w:color="000000"/>
              <w:bottom w:val="single" w:sz="4" w:space="0" w:color="000000"/>
              <w:right w:val="single" w:sz="4" w:space="0" w:color="000000"/>
            </w:tcBorders>
          </w:tcPr>
          <w:p w14:paraId="4CD3C57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29,0 (p &lt; 0,0001)</w:t>
            </w:r>
          </w:p>
        </w:tc>
      </w:tr>
    </w:tbl>
    <w:p w14:paraId="7FAA9F18" w14:textId="77777777" w:rsidR="003563EF" w:rsidRPr="001278B6" w:rsidRDefault="003563EF" w:rsidP="001278B6">
      <w:pPr>
        <w:pStyle w:val="a3"/>
        <w:widowControl/>
        <w:adjustRightInd w:val="0"/>
        <w:snapToGrid w:val="0"/>
        <w:rPr>
          <w:b/>
          <w:snapToGrid w:val="0"/>
          <w:lang w:val="da-DK"/>
        </w:rPr>
      </w:pPr>
    </w:p>
    <w:p w14:paraId="4FA646A4" w14:textId="21D66D2A"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 xml:space="preserve">I en eksplorativ analyse var omfanget af fordelene ved </w:t>
      </w:r>
      <w:r w:rsidR="00D8249E">
        <w:rPr>
          <w:snapToGrid w:val="0"/>
          <w:lang w:val="da-DK"/>
        </w:rPr>
        <w:t>bevacizumab</w:t>
      </w:r>
      <w:r w:rsidRPr="001278B6">
        <w:rPr>
          <w:snapToGrid w:val="0"/>
          <w:lang w:val="da-DK"/>
        </w:rPr>
        <w:t xml:space="preserve"> på </w:t>
      </w:r>
      <w:r w:rsidR="003A616F">
        <w:rPr>
          <w:snapToGrid w:val="0"/>
          <w:lang w:val="da-DK"/>
        </w:rPr>
        <w:t>OS</w:t>
      </w:r>
      <w:r w:rsidRPr="001278B6">
        <w:rPr>
          <w:snapToGrid w:val="0"/>
          <w:lang w:val="da-DK"/>
        </w:rPr>
        <w:t xml:space="preserve"> mindre udtalt i undergruppen af patienter, som ikke havde adenokarcinom</w:t>
      </w:r>
      <w:r w:rsidR="004B3750">
        <w:rPr>
          <w:snapToGrid w:val="0"/>
          <w:lang w:val="da-DK"/>
        </w:rPr>
        <w:noBreakHyphen/>
      </w:r>
      <w:r w:rsidRPr="001278B6">
        <w:rPr>
          <w:snapToGrid w:val="0"/>
          <w:lang w:val="da-DK"/>
        </w:rPr>
        <w:t>histologi.</w:t>
      </w:r>
    </w:p>
    <w:p w14:paraId="38F0E336" w14:textId="77777777" w:rsidR="003563EF" w:rsidRPr="001278B6" w:rsidRDefault="003563EF" w:rsidP="001278B6">
      <w:pPr>
        <w:pStyle w:val="a3"/>
        <w:widowControl/>
        <w:adjustRightInd w:val="0"/>
        <w:snapToGrid w:val="0"/>
        <w:rPr>
          <w:snapToGrid w:val="0"/>
          <w:lang w:val="da-DK"/>
        </w:rPr>
      </w:pPr>
    </w:p>
    <w:p w14:paraId="0C495C19"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BO17704</w:t>
      </w:r>
    </w:p>
    <w:p w14:paraId="755ED783" w14:textId="6ADAD509" w:rsidR="003563EF" w:rsidRPr="001278B6" w:rsidRDefault="00473235" w:rsidP="001278B6">
      <w:pPr>
        <w:pStyle w:val="a3"/>
        <w:widowControl/>
        <w:adjustRightInd w:val="0"/>
        <w:snapToGrid w:val="0"/>
        <w:rPr>
          <w:snapToGrid w:val="0"/>
          <w:lang w:val="da-DK"/>
        </w:rPr>
      </w:pPr>
      <w:r w:rsidRPr="001278B6">
        <w:rPr>
          <w:snapToGrid w:val="0"/>
          <w:lang w:val="da-DK"/>
        </w:rPr>
        <w:t>Studie BO17704 var et randomiseret dobbeltblindet fase III</w:t>
      </w:r>
      <w:r w:rsidR="004B3750">
        <w:rPr>
          <w:snapToGrid w:val="0"/>
          <w:lang w:val="da-DK"/>
        </w:rPr>
        <w:noBreakHyphen/>
      </w:r>
      <w:r w:rsidRPr="001278B6">
        <w:rPr>
          <w:snapToGrid w:val="0"/>
          <w:lang w:val="da-DK"/>
        </w:rPr>
        <w:t xml:space="preserve">studie med </w:t>
      </w:r>
      <w:r w:rsidR="00D272FA">
        <w:rPr>
          <w:snapToGrid w:val="0"/>
          <w:lang w:val="da-DK"/>
        </w:rPr>
        <w:t>bevacizumab</w:t>
      </w:r>
      <w:r w:rsidRPr="001278B6">
        <w:rPr>
          <w:snapToGrid w:val="0"/>
          <w:lang w:val="da-DK"/>
        </w:rPr>
        <w:t xml:space="preserve"> i kombination med cisplatin og gemcitabin, der blev sammenlignet med placebo, cisplatin og gemcitabin. Det blev udført med patienter med lokalt fremskreden (stadie IIIb med supraklaviculære lymfekirtelmetastaser eller med malignt pleural eller perikardial effusion), metastatisk eller recidiverende ikke</w:t>
      </w:r>
      <w:r w:rsidR="004B3750">
        <w:rPr>
          <w:snapToGrid w:val="0"/>
          <w:lang w:val="da-DK"/>
        </w:rPr>
        <w:noBreakHyphen/>
      </w:r>
      <w:r w:rsidRPr="001278B6">
        <w:rPr>
          <w:snapToGrid w:val="0"/>
          <w:lang w:val="da-DK"/>
        </w:rPr>
        <w:t xml:space="preserve">planocellulær NSCLC, som ikke tidligere havde fået kemoterapi. Det primære endepunkt var </w:t>
      </w:r>
      <w:r w:rsidR="003A616F">
        <w:rPr>
          <w:snapToGrid w:val="0"/>
          <w:lang w:val="da-DK"/>
        </w:rPr>
        <w:t>PFS</w:t>
      </w:r>
      <w:r w:rsidRPr="001278B6">
        <w:rPr>
          <w:snapToGrid w:val="0"/>
          <w:lang w:val="da-DK"/>
        </w:rPr>
        <w:t xml:space="preserve"> og de sekundære endepunkter for studiet inkluderede længden af </w:t>
      </w:r>
      <w:r w:rsidR="003A616F">
        <w:rPr>
          <w:snapToGrid w:val="0"/>
          <w:lang w:val="da-DK"/>
        </w:rPr>
        <w:t>OS</w:t>
      </w:r>
      <w:r w:rsidRPr="001278B6">
        <w:rPr>
          <w:snapToGrid w:val="0"/>
          <w:lang w:val="da-DK"/>
        </w:rPr>
        <w:t>.</w:t>
      </w:r>
    </w:p>
    <w:p w14:paraId="527EB1C7" w14:textId="77777777" w:rsidR="003563EF" w:rsidRPr="001278B6" w:rsidRDefault="003563EF" w:rsidP="001278B6">
      <w:pPr>
        <w:pStyle w:val="a3"/>
        <w:widowControl/>
        <w:adjustRightInd w:val="0"/>
        <w:snapToGrid w:val="0"/>
        <w:rPr>
          <w:snapToGrid w:val="0"/>
          <w:lang w:val="da-DK"/>
        </w:rPr>
      </w:pPr>
    </w:p>
    <w:p w14:paraId="6176FC6D" w14:textId="682BA830" w:rsidR="003563EF" w:rsidRPr="001278B6" w:rsidRDefault="00473235" w:rsidP="001278B6">
      <w:pPr>
        <w:pStyle w:val="a3"/>
        <w:widowControl/>
        <w:adjustRightInd w:val="0"/>
        <w:snapToGrid w:val="0"/>
        <w:rPr>
          <w:snapToGrid w:val="0"/>
          <w:lang w:val="da-DK"/>
        </w:rPr>
      </w:pPr>
      <w:r w:rsidRPr="001278B6">
        <w:rPr>
          <w:snapToGrid w:val="0"/>
          <w:lang w:val="da-DK"/>
        </w:rPr>
        <w:t>Patienterne blev randomiseret til platinbaseret kemoterapi, cisplatin 80</w:t>
      </w:r>
      <w:r w:rsidR="0074036C">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som intravenøs infusion på dag 1 og gemcitabin 1.250</w:t>
      </w:r>
      <w:r w:rsidR="0074036C">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som intravenøs infusion på dag 1 og 8 i hver 3</w:t>
      </w:r>
      <w:r w:rsidR="004B3750">
        <w:rPr>
          <w:snapToGrid w:val="0"/>
          <w:lang w:val="da-DK"/>
        </w:rPr>
        <w:noBreakHyphen/>
      </w:r>
      <w:r w:rsidRPr="001278B6">
        <w:rPr>
          <w:snapToGrid w:val="0"/>
          <w:lang w:val="da-DK"/>
        </w:rPr>
        <w:t>ugers serie i op til 6</w:t>
      </w:r>
      <w:r w:rsidR="00643282">
        <w:rPr>
          <w:snapToGrid w:val="0"/>
          <w:lang w:val="da-DK"/>
        </w:rPr>
        <w:t> </w:t>
      </w:r>
      <w:r w:rsidRPr="001278B6">
        <w:rPr>
          <w:snapToGrid w:val="0"/>
          <w:lang w:val="da-DK"/>
        </w:rPr>
        <w:t xml:space="preserve">serier (CG) med placebo eller til CG i kombination med </w:t>
      </w:r>
      <w:r w:rsidR="00D272FA">
        <w:rPr>
          <w:snapToGrid w:val="0"/>
          <w:lang w:val="da-DK"/>
        </w:rPr>
        <w:t>bevacizumab</w:t>
      </w:r>
      <w:r w:rsidRPr="001278B6">
        <w:rPr>
          <w:snapToGrid w:val="0"/>
          <w:lang w:val="da-DK"/>
        </w:rPr>
        <w:t xml:space="preserve"> i en dosis på 7,5 eller 15 mg/kg som intravenøs infusion på dag 1 i hver 3</w:t>
      </w:r>
      <w:r w:rsidR="004B3750">
        <w:rPr>
          <w:snapToGrid w:val="0"/>
          <w:lang w:val="da-DK"/>
        </w:rPr>
        <w:noBreakHyphen/>
      </w:r>
      <w:r w:rsidRPr="001278B6">
        <w:rPr>
          <w:snapToGrid w:val="0"/>
          <w:lang w:val="da-DK"/>
        </w:rPr>
        <w:t xml:space="preserve">ugers serie. I </w:t>
      </w:r>
      <w:r w:rsidR="00D272FA">
        <w:rPr>
          <w:snapToGrid w:val="0"/>
          <w:lang w:val="da-DK"/>
        </w:rPr>
        <w:t>bevacizumab</w:t>
      </w:r>
      <w:r w:rsidR="004B3750">
        <w:rPr>
          <w:snapToGrid w:val="0"/>
          <w:lang w:val="da-DK"/>
        </w:rPr>
        <w:noBreakHyphen/>
      </w:r>
      <w:r w:rsidRPr="001278B6">
        <w:rPr>
          <w:snapToGrid w:val="0"/>
          <w:lang w:val="da-DK"/>
        </w:rPr>
        <w:t xml:space="preserve">armen kunne patienter få </w:t>
      </w:r>
      <w:r w:rsidR="00D272FA">
        <w:rPr>
          <w:snapToGrid w:val="0"/>
          <w:lang w:val="da-DK"/>
        </w:rPr>
        <w:t>bevacizumab</w:t>
      </w:r>
      <w:r w:rsidRPr="001278B6">
        <w:rPr>
          <w:snapToGrid w:val="0"/>
          <w:lang w:val="da-DK"/>
        </w:rPr>
        <w:t xml:space="preserve"> som enkeltstofbehandling hver 3. uge indtil sygdomsprogression eller indtil uacceptabel toksicitet.</w:t>
      </w:r>
      <w:r w:rsidR="00D272FA">
        <w:rPr>
          <w:snapToGrid w:val="0"/>
          <w:lang w:val="da-DK"/>
        </w:rPr>
        <w:t xml:space="preserve"> </w:t>
      </w:r>
      <w:r w:rsidRPr="001278B6">
        <w:rPr>
          <w:snapToGrid w:val="0"/>
          <w:lang w:val="da-DK"/>
        </w:rPr>
        <w:t xml:space="preserve">Studieresultaterne viser, at 94 % (277/296) af de kvalificerede patienter kom i enkeltstofbehandling med bevacizumab ved serie 7. En stor del af patienterne (omkring 62 %) fik derefter forskellige anticancerbehandlinger uden for protokollen, hvilket kan have haft indflydelse på </w:t>
      </w:r>
      <w:r w:rsidR="003A616F">
        <w:rPr>
          <w:snapToGrid w:val="0"/>
          <w:lang w:val="da-DK"/>
        </w:rPr>
        <w:t>OS</w:t>
      </w:r>
      <w:r w:rsidRPr="001278B6">
        <w:rPr>
          <w:snapToGrid w:val="0"/>
          <w:lang w:val="da-DK"/>
        </w:rPr>
        <w:t>.</w:t>
      </w:r>
    </w:p>
    <w:p w14:paraId="2CBED956" w14:textId="77777777" w:rsidR="003563EF" w:rsidRPr="001278B6" w:rsidRDefault="003563EF" w:rsidP="001278B6">
      <w:pPr>
        <w:pStyle w:val="a3"/>
        <w:widowControl/>
        <w:adjustRightInd w:val="0"/>
        <w:snapToGrid w:val="0"/>
        <w:rPr>
          <w:snapToGrid w:val="0"/>
          <w:lang w:val="da-DK"/>
        </w:rPr>
      </w:pPr>
    </w:p>
    <w:p w14:paraId="30A475C2" w14:textId="77777777" w:rsidR="003563EF" w:rsidRPr="001278B6" w:rsidRDefault="00473235" w:rsidP="001278B6">
      <w:pPr>
        <w:pStyle w:val="a3"/>
        <w:widowControl/>
        <w:adjustRightInd w:val="0"/>
        <w:snapToGrid w:val="0"/>
        <w:rPr>
          <w:snapToGrid w:val="0"/>
          <w:lang w:val="da-DK"/>
        </w:rPr>
      </w:pPr>
      <w:r w:rsidRPr="001278B6">
        <w:rPr>
          <w:snapToGrid w:val="0"/>
          <w:lang w:val="da-DK"/>
        </w:rPr>
        <w:t>Effektresultaterne er præsenteret i tabel 13.</w:t>
      </w:r>
    </w:p>
    <w:p w14:paraId="199765B2" w14:textId="77777777" w:rsidR="00AD71D9" w:rsidRDefault="00AD71D9" w:rsidP="00747393">
      <w:pPr>
        <w:rPr>
          <w:snapToGrid w:val="0"/>
          <w:lang w:val="da-DK"/>
        </w:rPr>
      </w:pPr>
    </w:p>
    <w:p w14:paraId="6025115D" w14:textId="77777777" w:rsidR="003563EF" w:rsidRPr="00BB1BD4" w:rsidRDefault="00473235" w:rsidP="00BB1BD4">
      <w:pPr>
        <w:ind w:left="1134" w:hanging="1134"/>
        <w:rPr>
          <w:b/>
          <w:bCs/>
          <w:snapToGrid w:val="0"/>
          <w:lang w:val="da-DK"/>
        </w:rPr>
      </w:pPr>
      <w:r w:rsidRPr="00BB1BD4">
        <w:rPr>
          <w:b/>
          <w:bCs/>
          <w:snapToGrid w:val="0"/>
          <w:lang w:val="da-DK"/>
        </w:rPr>
        <w:t>Tabel 13.</w:t>
      </w:r>
      <w:r w:rsidRPr="00BB1BD4">
        <w:rPr>
          <w:b/>
          <w:bCs/>
          <w:snapToGrid w:val="0"/>
          <w:lang w:val="da-DK"/>
        </w:rPr>
        <w:tab/>
        <w:t>Effektresultater fra studie BO17704</w:t>
      </w:r>
    </w:p>
    <w:p w14:paraId="0918035E" w14:textId="77777777" w:rsidR="003563EF" w:rsidRPr="001278B6" w:rsidRDefault="003563EF" w:rsidP="001278B6">
      <w:pPr>
        <w:pStyle w:val="a3"/>
        <w:keepNext/>
        <w:keepLines/>
        <w:widowControl/>
        <w:adjustRightInd w:val="0"/>
        <w:snapToGrid w:val="0"/>
        <w:rPr>
          <w:b/>
          <w:snapToGrid w:val="0"/>
          <w:lang w:val="da-DK"/>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2274"/>
        <w:gridCol w:w="2267"/>
        <w:gridCol w:w="2341"/>
      </w:tblGrid>
      <w:tr w:rsidR="003563EF" w:rsidRPr="007E69C7" w14:paraId="552B49C6" w14:textId="77777777" w:rsidTr="00F466A3">
        <w:tc>
          <w:tcPr>
            <w:tcW w:w="2268" w:type="dxa"/>
          </w:tcPr>
          <w:p w14:paraId="7945D3CF" w14:textId="77777777" w:rsidR="003563EF" w:rsidRPr="001278B6" w:rsidRDefault="003563EF" w:rsidP="001278B6">
            <w:pPr>
              <w:pStyle w:val="TableParagraph"/>
              <w:keepNext/>
              <w:keepLines/>
              <w:widowControl/>
              <w:adjustRightInd w:val="0"/>
              <w:snapToGrid w:val="0"/>
              <w:rPr>
                <w:snapToGrid w:val="0"/>
                <w:sz w:val="20"/>
                <w:lang w:val="da-DK"/>
              </w:rPr>
            </w:pPr>
          </w:p>
        </w:tc>
        <w:tc>
          <w:tcPr>
            <w:tcW w:w="2341" w:type="dxa"/>
          </w:tcPr>
          <w:p w14:paraId="06DBA1EA"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Cisplatin/Gemcitabin</w:t>
            </w:r>
          </w:p>
          <w:p w14:paraId="32DF4F46"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 placebo</w:t>
            </w:r>
          </w:p>
        </w:tc>
        <w:tc>
          <w:tcPr>
            <w:tcW w:w="2303" w:type="dxa"/>
          </w:tcPr>
          <w:p w14:paraId="3BF0EBEC"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Cisplatin/Gemcitabin</w:t>
            </w:r>
          </w:p>
          <w:p w14:paraId="24979F1E" w14:textId="77777777" w:rsidR="003563EF" w:rsidRPr="001278B6" w:rsidRDefault="00473235">
            <w:pPr>
              <w:pStyle w:val="TableParagraph"/>
              <w:keepNext/>
              <w:keepLines/>
              <w:widowControl/>
              <w:adjustRightInd w:val="0"/>
              <w:snapToGrid w:val="0"/>
              <w:jc w:val="center"/>
              <w:rPr>
                <w:b/>
                <w:snapToGrid w:val="0"/>
                <w:sz w:val="20"/>
                <w:lang w:val="da-DK"/>
              </w:rPr>
            </w:pPr>
            <w:r w:rsidRPr="001278B6">
              <w:rPr>
                <w:b/>
                <w:snapToGrid w:val="0"/>
                <w:sz w:val="20"/>
                <w:lang w:val="da-DK"/>
              </w:rPr>
              <w:t xml:space="preserve">+ </w:t>
            </w:r>
            <w:r w:rsidR="00D272FA">
              <w:rPr>
                <w:b/>
                <w:snapToGrid w:val="0"/>
                <w:sz w:val="20"/>
                <w:lang w:val="da-DK"/>
              </w:rPr>
              <w:t>Bevacizumab</w:t>
            </w:r>
            <w:r w:rsidRPr="001278B6">
              <w:rPr>
                <w:b/>
                <w:snapToGrid w:val="0"/>
                <w:sz w:val="20"/>
                <w:lang w:val="da-DK"/>
              </w:rPr>
              <w:t xml:space="preserve"> </w:t>
            </w:r>
            <w:r w:rsidR="005D4399">
              <w:rPr>
                <w:b/>
                <w:snapToGrid w:val="0"/>
                <w:sz w:val="20"/>
                <w:lang w:val="da-DK"/>
              </w:rPr>
              <w:br/>
            </w:r>
            <w:r w:rsidRPr="001278B6">
              <w:rPr>
                <w:b/>
                <w:snapToGrid w:val="0"/>
                <w:sz w:val="20"/>
                <w:lang w:val="da-DK"/>
              </w:rPr>
              <w:t>7,5</w:t>
            </w:r>
            <w:r w:rsidR="0074036C">
              <w:rPr>
                <w:b/>
                <w:snapToGrid w:val="0"/>
                <w:sz w:val="20"/>
                <w:lang w:val="da-DK"/>
              </w:rPr>
              <w:t> mg</w:t>
            </w:r>
            <w:r w:rsidRPr="001278B6">
              <w:rPr>
                <w:b/>
                <w:snapToGrid w:val="0"/>
                <w:sz w:val="20"/>
                <w:lang w:val="da-DK"/>
              </w:rPr>
              <w:t>/kg</w:t>
            </w:r>
            <w:r w:rsidR="005D4399">
              <w:rPr>
                <w:b/>
                <w:snapToGrid w:val="0"/>
                <w:sz w:val="20"/>
                <w:lang w:val="da-DK"/>
              </w:rPr>
              <w:t xml:space="preserve"> </w:t>
            </w:r>
            <w:r w:rsidRPr="001278B6">
              <w:rPr>
                <w:b/>
                <w:snapToGrid w:val="0"/>
                <w:sz w:val="20"/>
                <w:lang w:val="da-DK"/>
              </w:rPr>
              <w:t>hver 3. uge</w:t>
            </w:r>
          </w:p>
        </w:tc>
        <w:tc>
          <w:tcPr>
            <w:tcW w:w="2380" w:type="dxa"/>
          </w:tcPr>
          <w:p w14:paraId="67C00854"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Cisplatin/Gemcitabin</w:t>
            </w:r>
          </w:p>
          <w:p w14:paraId="4D0C74D4"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 xml:space="preserve">+ </w:t>
            </w:r>
            <w:r w:rsidR="00D272FA">
              <w:rPr>
                <w:b/>
                <w:snapToGrid w:val="0"/>
                <w:sz w:val="20"/>
                <w:lang w:val="da-DK"/>
              </w:rPr>
              <w:t>Bevacizumab</w:t>
            </w:r>
          </w:p>
          <w:p w14:paraId="71EABB95" w14:textId="77777777" w:rsidR="003563EF" w:rsidRPr="001278B6" w:rsidRDefault="00473235">
            <w:pPr>
              <w:pStyle w:val="TableParagraph"/>
              <w:keepNext/>
              <w:keepLines/>
              <w:widowControl/>
              <w:adjustRightInd w:val="0"/>
              <w:snapToGrid w:val="0"/>
              <w:jc w:val="center"/>
              <w:rPr>
                <w:b/>
                <w:snapToGrid w:val="0"/>
                <w:sz w:val="20"/>
                <w:lang w:val="da-DK"/>
              </w:rPr>
            </w:pPr>
            <w:r w:rsidRPr="001278B6">
              <w:rPr>
                <w:b/>
                <w:snapToGrid w:val="0"/>
                <w:sz w:val="20"/>
                <w:lang w:val="da-DK"/>
              </w:rPr>
              <w:t>15</w:t>
            </w:r>
            <w:r w:rsidR="0074036C">
              <w:rPr>
                <w:b/>
                <w:snapToGrid w:val="0"/>
                <w:sz w:val="20"/>
                <w:lang w:val="da-DK"/>
              </w:rPr>
              <w:t> mg</w:t>
            </w:r>
            <w:r w:rsidRPr="001278B6">
              <w:rPr>
                <w:b/>
                <w:snapToGrid w:val="0"/>
                <w:sz w:val="20"/>
                <w:lang w:val="da-DK"/>
              </w:rPr>
              <w:t>/kg hver 3. uge</w:t>
            </w:r>
          </w:p>
        </w:tc>
      </w:tr>
      <w:tr w:rsidR="003563EF" w:rsidRPr="005476B6" w14:paraId="2D9D0805" w14:textId="77777777" w:rsidTr="00F466A3">
        <w:tc>
          <w:tcPr>
            <w:tcW w:w="2268" w:type="dxa"/>
          </w:tcPr>
          <w:p w14:paraId="78BA1A80"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2341" w:type="dxa"/>
          </w:tcPr>
          <w:p w14:paraId="16979E15"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347</w:t>
            </w:r>
          </w:p>
        </w:tc>
        <w:tc>
          <w:tcPr>
            <w:tcW w:w="2303" w:type="dxa"/>
          </w:tcPr>
          <w:p w14:paraId="51984F9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345</w:t>
            </w:r>
          </w:p>
        </w:tc>
        <w:tc>
          <w:tcPr>
            <w:tcW w:w="2380" w:type="dxa"/>
          </w:tcPr>
          <w:p w14:paraId="5B322407"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351</w:t>
            </w:r>
          </w:p>
        </w:tc>
      </w:tr>
      <w:tr w:rsidR="00015B05" w:rsidRPr="005476B6" w14:paraId="5725B498" w14:textId="77777777" w:rsidTr="00D31843">
        <w:trPr>
          <w:trHeight w:val="470"/>
        </w:trPr>
        <w:tc>
          <w:tcPr>
            <w:tcW w:w="9292" w:type="dxa"/>
            <w:gridSpan w:val="4"/>
          </w:tcPr>
          <w:p w14:paraId="69D623BB" w14:textId="67FD83A0" w:rsidR="00015B05" w:rsidRPr="00F466A3" w:rsidRDefault="00015B05" w:rsidP="001278B6">
            <w:pPr>
              <w:pStyle w:val="TableParagraph"/>
              <w:widowControl/>
              <w:adjustRightInd w:val="0"/>
              <w:snapToGrid w:val="0"/>
              <w:rPr>
                <w:b/>
                <w:bCs/>
                <w:snapToGrid w:val="0"/>
                <w:sz w:val="20"/>
                <w:lang w:val="da-DK"/>
              </w:rPr>
            </w:pPr>
            <w:r w:rsidRPr="00F466A3">
              <w:rPr>
                <w:b/>
                <w:bCs/>
                <w:snapToGrid w:val="0"/>
                <w:sz w:val="20"/>
                <w:lang w:val="da-DK"/>
              </w:rPr>
              <w:t>Progressionfrioverlevelse</w:t>
            </w:r>
          </w:p>
        </w:tc>
      </w:tr>
      <w:tr w:rsidR="00344F02" w:rsidRPr="005476B6" w14:paraId="64EB7D1E" w14:textId="77777777" w:rsidTr="00F466A3">
        <w:trPr>
          <w:trHeight w:val="470"/>
        </w:trPr>
        <w:tc>
          <w:tcPr>
            <w:tcW w:w="2268" w:type="dxa"/>
          </w:tcPr>
          <w:p w14:paraId="5C8E0821" w14:textId="77777777" w:rsidR="00344F02" w:rsidRPr="001278B6" w:rsidRDefault="00344F02" w:rsidP="001278B6">
            <w:pPr>
              <w:pStyle w:val="TableParagraph"/>
              <w:widowControl/>
              <w:tabs>
                <w:tab w:val="left" w:pos="262"/>
              </w:tabs>
              <w:adjustRightInd w:val="0"/>
              <w:snapToGrid w:val="0"/>
              <w:rPr>
                <w:snapToGrid w:val="0"/>
                <w:sz w:val="20"/>
                <w:lang w:val="da-DK"/>
              </w:rPr>
            </w:pPr>
            <w:r w:rsidRPr="001278B6">
              <w:rPr>
                <w:snapToGrid w:val="0"/>
                <w:sz w:val="20"/>
                <w:lang w:val="da-DK"/>
              </w:rPr>
              <w:tab/>
              <w:t>Median (måneder)</w:t>
            </w:r>
          </w:p>
        </w:tc>
        <w:tc>
          <w:tcPr>
            <w:tcW w:w="2341" w:type="dxa"/>
          </w:tcPr>
          <w:p w14:paraId="4FDABCD1" w14:textId="77777777" w:rsidR="00344F02" w:rsidRPr="001278B6" w:rsidRDefault="00344F02" w:rsidP="001278B6">
            <w:pPr>
              <w:pStyle w:val="TableParagraph"/>
              <w:widowControl/>
              <w:adjustRightInd w:val="0"/>
              <w:snapToGrid w:val="0"/>
              <w:jc w:val="center"/>
              <w:rPr>
                <w:snapToGrid w:val="0"/>
                <w:sz w:val="20"/>
                <w:lang w:val="da-DK"/>
              </w:rPr>
            </w:pPr>
            <w:r w:rsidRPr="001278B6">
              <w:rPr>
                <w:snapToGrid w:val="0"/>
                <w:sz w:val="20"/>
                <w:lang w:val="da-DK"/>
              </w:rPr>
              <w:t>6,1</w:t>
            </w:r>
          </w:p>
        </w:tc>
        <w:tc>
          <w:tcPr>
            <w:tcW w:w="2303" w:type="dxa"/>
          </w:tcPr>
          <w:p w14:paraId="158A8E2C" w14:textId="77777777" w:rsidR="00344F02" w:rsidRPr="001278B6" w:rsidRDefault="00344F02" w:rsidP="001278B6">
            <w:pPr>
              <w:pStyle w:val="TableParagraph"/>
              <w:widowControl/>
              <w:adjustRightInd w:val="0"/>
              <w:snapToGrid w:val="0"/>
              <w:jc w:val="center"/>
              <w:rPr>
                <w:snapToGrid w:val="0"/>
                <w:sz w:val="20"/>
                <w:lang w:val="da-DK"/>
              </w:rPr>
            </w:pPr>
            <w:r w:rsidRPr="001278B6">
              <w:rPr>
                <w:snapToGrid w:val="0"/>
                <w:sz w:val="20"/>
                <w:lang w:val="da-DK"/>
              </w:rPr>
              <w:t>6,7</w:t>
            </w:r>
          </w:p>
          <w:p w14:paraId="7F7CE534" w14:textId="77777777" w:rsidR="00344F02" w:rsidRPr="001278B6" w:rsidRDefault="00344F02" w:rsidP="001278B6">
            <w:pPr>
              <w:pStyle w:val="TableParagraph"/>
              <w:widowControl/>
              <w:adjustRightInd w:val="0"/>
              <w:snapToGrid w:val="0"/>
              <w:jc w:val="center"/>
              <w:rPr>
                <w:snapToGrid w:val="0"/>
                <w:sz w:val="20"/>
                <w:lang w:val="da-DK"/>
              </w:rPr>
            </w:pPr>
            <w:r w:rsidRPr="001278B6">
              <w:rPr>
                <w:snapToGrid w:val="0"/>
                <w:sz w:val="20"/>
                <w:lang w:val="da-DK"/>
              </w:rPr>
              <w:t>(p = 0,0026)</w:t>
            </w:r>
          </w:p>
        </w:tc>
        <w:tc>
          <w:tcPr>
            <w:tcW w:w="2380" w:type="dxa"/>
          </w:tcPr>
          <w:p w14:paraId="7571F712" w14:textId="77777777" w:rsidR="00344F02" w:rsidRPr="001278B6" w:rsidRDefault="00344F02" w:rsidP="001278B6">
            <w:pPr>
              <w:pStyle w:val="TableParagraph"/>
              <w:widowControl/>
              <w:adjustRightInd w:val="0"/>
              <w:snapToGrid w:val="0"/>
              <w:jc w:val="center"/>
              <w:rPr>
                <w:snapToGrid w:val="0"/>
                <w:sz w:val="20"/>
                <w:lang w:val="da-DK"/>
              </w:rPr>
            </w:pPr>
            <w:r w:rsidRPr="001278B6">
              <w:rPr>
                <w:snapToGrid w:val="0"/>
                <w:sz w:val="20"/>
                <w:lang w:val="da-DK"/>
              </w:rPr>
              <w:t>6,5</w:t>
            </w:r>
          </w:p>
          <w:p w14:paraId="30205F0F" w14:textId="77777777" w:rsidR="00344F02" w:rsidRPr="001278B6" w:rsidRDefault="00344F02" w:rsidP="001278B6">
            <w:pPr>
              <w:pStyle w:val="TableParagraph"/>
              <w:widowControl/>
              <w:adjustRightInd w:val="0"/>
              <w:snapToGrid w:val="0"/>
              <w:jc w:val="center"/>
              <w:rPr>
                <w:snapToGrid w:val="0"/>
                <w:sz w:val="20"/>
                <w:lang w:val="da-DK"/>
              </w:rPr>
            </w:pPr>
            <w:r w:rsidRPr="001278B6">
              <w:rPr>
                <w:snapToGrid w:val="0"/>
                <w:sz w:val="20"/>
                <w:lang w:val="da-DK"/>
              </w:rPr>
              <w:t>(p = 0,0301)</w:t>
            </w:r>
          </w:p>
        </w:tc>
      </w:tr>
      <w:tr w:rsidR="00EA32FB" w:rsidRPr="005476B6" w14:paraId="5C05D577" w14:textId="77777777" w:rsidTr="00F466A3">
        <w:trPr>
          <w:trHeight w:val="470"/>
        </w:trPr>
        <w:tc>
          <w:tcPr>
            <w:tcW w:w="2268" w:type="dxa"/>
          </w:tcPr>
          <w:p w14:paraId="392BCA5B" w14:textId="77777777" w:rsidR="00EA32FB" w:rsidRPr="001278B6" w:rsidRDefault="00EA32FB" w:rsidP="001278B6">
            <w:pPr>
              <w:pStyle w:val="TableParagraph"/>
              <w:widowControl/>
              <w:adjustRightInd w:val="0"/>
              <w:snapToGrid w:val="0"/>
              <w:rPr>
                <w:snapToGrid w:val="0"/>
                <w:sz w:val="20"/>
                <w:lang w:val="da-DK"/>
              </w:rPr>
            </w:pPr>
            <w:r w:rsidRPr="001278B6">
              <w:rPr>
                <w:i/>
                <w:snapToGrid w:val="0"/>
                <w:sz w:val="20"/>
                <w:lang w:val="da-DK"/>
              </w:rPr>
              <w:tab/>
            </w:r>
            <w:r w:rsidRPr="00F466A3">
              <w:rPr>
                <w:iCs/>
                <w:snapToGrid w:val="0"/>
                <w:sz w:val="20"/>
                <w:lang w:val="da-DK"/>
              </w:rPr>
              <w:t xml:space="preserve">Hazard </w:t>
            </w:r>
            <w:r w:rsidRPr="001278B6">
              <w:rPr>
                <w:snapToGrid w:val="0"/>
                <w:sz w:val="20"/>
                <w:lang w:val="da-DK"/>
              </w:rPr>
              <w:t>ratio</w:t>
            </w:r>
          </w:p>
        </w:tc>
        <w:tc>
          <w:tcPr>
            <w:tcW w:w="2341" w:type="dxa"/>
          </w:tcPr>
          <w:p w14:paraId="5FFED275" w14:textId="77777777" w:rsidR="00EA32FB" w:rsidRPr="001278B6" w:rsidRDefault="00EA32FB" w:rsidP="001278B6">
            <w:pPr>
              <w:pStyle w:val="TableParagraph"/>
              <w:widowControl/>
              <w:adjustRightInd w:val="0"/>
              <w:snapToGrid w:val="0"/>
              <w:rPr>
                <w:snapToGrid w:val="0"/>
                <w:sz w:val="20"/>
                <w:lang w:val="da-DK"/>
              </w:rPr>
            </w:pPr>
          </w:p>
        </w:tc>
        <w:tc>
          <w:tcPr>
            <w:tcW w:w="2303" w:type="dxa"/>
          </w:tcPr>
          <w:p w14:paraId="4DDCC4B2" w14:textId="77777777" w:rsidR="00EA32FB" w:rsidRPr="001278B6" w:rsidRDefault="00EA32FB" w:rsidP="001278B6">
            <w:pPr>
              <w:pStyle w:val="TableParagraph"/>
              <w:widowControl/>
              <w:adjustRightInd w:val="0"/>
              <w:snapToGrid w:val="0"/>
              <w:jc w:val="center"/>
              <w:rPr>
                <w:snapToGrid w:val="0"/>
                <w:sz w:val="20"/>
                <w:lang w:val="da-DK"/>
              </w:rPr>
            </w:pPr>
            <w:r w:rsidRPr="001278B6">
              <w:rPr>
                <w:snapToGrid w:val="0"/>
                <w:sz w:val="20"/>
                <w:lang w:val="da-DK"/>
              </w:rPr>
              <w:t>0,75</w:t>
            </w:r>
          </w:p>
          <w:p w14:paraId="2972B39D" w14:textId="77777777" w:rsidR="00EA32FB" w:rsidRPr="001278B6" w:rsidRDefault="00EA32FB" w:rsidP="001278B6">
            <w:pPr>
              <w:pStyle w:val="TableParagraph"/>
              <w:widowControl/>
              <w:adjustRightInd w:val="0"/>
              <w:snapToGrid w:val="0"/>
              <w:jc w:val="center"/>
              <w:rPr>
                <w:snapToGrid w:val="0"/>
                <w:sz w:val="20"/>
                <w:lang w:val="da-DK"/>
              </w:rPr>
            </w:pPr>
            <w:r w:rsidRPr="001278B6">
              <w:rPr>
                <w:snapToGrid w:val="0"/>
                <w:sz w:val="20"/>
                <w:lang w:val="da-DK"/>
              </w:rPr>
              <w:t>[0,62</w:t>
            </w:r>
            <w:r w:rsidR="004B3750">
              <w:rPr>
                <w:snapToGrid w:val="0"/>
                <w:sz w:val="20"/>
                <w:lang w:val="da-DK"/>
              </w:rPr>
              <w:noBreakHyphen/>
            </w:r>
            <w:r w:rsidRPr="001278B6">
              <w:rPr>
                <w:snapToGrid w:val="0"/>
                <w:sz w:val="20"/>
                <w:lang w:val="da-DK"/>
              </w:rPr>
              <w:t>0,91]</w:t>
            </w:r>
          </w:p>
        </w:tc>
        <w:tc>
          <w:tcPr>
            <w:tcW w:w="2380" w:type="dxa"/>
          </w:tcPr>
          <w:p w14:paraId="3061446F" w14:textId="77777777" w:rsidR="00EA32FB" w:rsidRPr="001278B6" w:rsidRDefault="00EA32FB" w:rsidP="001278B6">
            <w:pPr>
              <w:pStyle w:val="TableParagraph"/>
              <w:widowControl/>
              <w:adjustRightInd w:val="0"/>
              <w:snapToGrid w:val="0"/>
              <w:jc w:val="center"/>
              <w:rPr>
                <w:snapToGrid w:val="0"/>
                <w:sz w:val="20"/>
                <w:lang w:val="da-DK"/>
              </w:rPr>
            </w:pPr>
            <w:r w:rsidRPr="001278B6">
              <w:rPr>
                <w:snapToGrid w:val="0"/>
                <w:sz w:val="20"/>
                <w:lang w:val="da-DK"/>
              </w:rPr>
              <w:t>0,82</w:t>
            </w:r>
          </w:p>
          <w:p w14:paraId="1E8B2B38" w14:textId="77777777" w:rsidR="00EA32FB" w:rsidRPr="001278B6" w:rsidRDefault="00EA32FB" w:rsidP="001278B6">
            <w:pPr>
              <w:pStyle w:val="TableParagraph"/>
              <w:widowControl/>
              <w:adjustRightInd w:val="0"/>
              <w:snapToGrid w:val="0"/>
              <w:jc w:val="center"/>
              <w:rPr>
                <w:snapToGrid w:val="0"/>
                <w:sz w:val="20"/>
                <w:lang w:val="da-DK"/>
              </w:rPr>
            </w:pPr>
            <w:r w:rsidRPr="001278B6">
              <w:rPr>
                <w:snapToGrid w:val="0"/>
                <w:sz w:val="20"/>
                <w:lang w:val="da-DK"/>
              </w:rPr>
              <w:t>[0,68</w:t>
            </w:r>
            <w:r w:rsidR="004B3750">
              <w:rPr>
                <w:snapToGrid w:val="0"/>
                <w:sz w:val="20"/>
                <w:lang w:val="da-DK"/>
              </w:rPr>
              <w:noBreakHyphen/>
            </w:r>
            <w:r w:rsidRPr="001278B6">
              <w:rPr>
                <w:snapToGrid w:val="0"/>
                <w:sz w:val="20"/>
                <w:lang w:val="da-DK"/>
              </w:rPr>
              <w:t>0,98]</w:t>
            </w:r>
          </w:p>
        </w:tc>
      </w:tr>
      <w:tr w:rsidR="003563EF" w:rsidRPr="005476B6" w14:paraId="242A9063" w14:textId="77777777" w:rsidTr="00F466A3">
        <w:tc>
          <w:tcPr>
            <w:tcW w:w="2268" w:type="dxa"/>
          </w:tcPr>
          <w:p w14:paraId="66DB1311"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xml:space="preserve">Bedste objektive responsrate </w:t>
            </w:r>
            <w:r w:rsidRPr="001278B6">
              <w:rPr>
                <w:snapToGrid w:val="0"/>
                <w:sz w:val="20"/>
                <w:vertAlign w:val="superscript"/>
                <w:lang w:val="da-DK"/>
              </w:rPr>
              <w:t>a</w:t>
            </w:r>
          </w:p>
        </w:tc>
        <w:tc>
          <w:tcPr>
            <w:tcW w:w="2341" w:type="dxa"/>
          </w:tcPr>
          <w:p w14:paraId="7D774F0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20,1 %</w:t>
            </w:r>
          </w:p>
        </w:tc>
        <w:tc>
          <w:tcPr>
            <w:tcW w:w="2303" w:type="dxa"/>
          </w:tcPr>
          <w:p w14:paraId="652000A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34,1 %</w:t>
            </w:r>
          </w:p>
          <w:p w14:paraId="17C5242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 &lt; 0,0001)</w:t>
            </w:r>
          </w:p>
        </w:tc>
        <w:tc>
          <w:tcPr>
            <w:tcW w:w="2380" w:type="dxa"/>
          </w:tcPr>
          <w:p w14:paraId="0108320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30,4 %</w:t>
            </w:r>
          </w:p>
          <w:p w14:paraId="3273EBD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 = 0,0023)</w:t>
            </w:r>
          </w:p>
        </w:tc>
      </w:tr>
      <w:tr w:rsidR="003563EF" w:rsidRPr="005476B6" w14:paraId="504476B6" w14:textId="77777777" w:rsidTr="00F466A3">
        <w:tc>
          <w:tcPr>
            <w:tcW w:w="9322" w:type="dxa"/>
            <w:gridSpan w:val="4"/>
          </w:tcPr>
          <w:p w14:paraId="0FF1F4AE" w14:textId="77777777" w:rsidR="003563EF" w:rsidRPr="001278B6" w:rsidRDefault="00473235" w:rsidP="00F466A3">
            <w:pPr>
              <w:pStyle w:val="TableParagraph"/>
              <w:keepNext/>
              <w:keepLines/>
              <w:widowControl/>
              <w:adjustRightInd w:val="0"/>
              <w:snapToGrid w:val="0"/>
              <w:rPr>
                <w:b/>
                <w:bCs/>
                <w:snapToGrid w:val="0"/>
                <w:sz w:val="20"/>
                <w:lang w:val="da-DK"/>
              </w:rPr>
            </w:pPr>
            <w:r w:rsidRPr="001278B6">
              <w:rPr>
                <w:b/>
                <w:bCs/>
                <w:snapToGrid w:val="0"/>
                <w:sz w:val="20"/>
                <w:lang w:val="da-DK"/>
              </w:rPr>
              <w:t>Samlet overlevelse</w:t>
            </w:r>
          </w:p>
        </w:tc>
      </w:tr>
      <w:tr w:rsidR="003563EF" w:rsidRPr="005476B6" w14:paraId="1541F832" w14:textId="77777777" w:rsidTr="00F466A3">
        <w:tc>
          <w:tcPr>
            <w:tcW w:w="2277" w:type="dxa"/>
          </w:tcPr>
          <w:p w14:paraId="6D8B0EDA" w14:textId="77777777" w:rsidR="003563EF" w:rsidRPr="001278B6" w:rsidRDefault="00344F02" w:rsidP="001278B6">
            <w:pPr>
              <w:pStyle w:val="TableParagraph"/>
              <w:keepNext/>
              <w:keepLines/>
              <w:widowControl/>
              <w:tabs>
                <w:tab w:val="left" w:pos="262"/>
              </w:tabs>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(måneder)</w:t>
            </w:r>
          </w:p>
        </w:tc>
        <w:tc>
          <w:tcPr>
            <w:tcW w:w="2301" w:type="dxa"/>
          </w:tcPr>
          <w:p w14:paraId="0AC5A48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13,1</w:t>
            </w:r>
          </w:p>
        </w:tc>
        <w:tc>
          <w:tcPr>
            <w:tcW w:w="2334" w:type="dxa"/>
          </w:tcPr>
          <w:p w14:paraId="5B4689A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13,6</w:t>
            </w:r>
          </w:p>
          <w:p w14:paraId="3C1C33C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 = 0,4203)</w:t>
            </w:r>
          </w:p>
        </w:tc>
        <w:tc>
          <w:tcPr>
            <w:tcW w:w="2410" w:type="dxa"/>
          </w:tcPr>
          <w:p w14:paraId="20FBE85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13,4</w:t>
            </w:r>
          </w:p>
          <w:p w14:paraId="7B0BF84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 = 0,7613)</w:t>
            </w:r>
          </w:p>
        </w:tc>
      </w:tr>
      <w:tr w:rsidR="005D4399" w:rsidRPr="005476B6" w14:paraId="3A3E91FA" w14:textId="77777777" w:rsidTr="00F466A3">
        <w:trPr>
          <w:trHeight w:val="470"/>
        </w:trPr>
        <w:tc>
          <w:tcPr>
            <w:tcW w:w="2277" w:type="dxa"/>
          </w:tcPr>
          <w:p w14:paraId="1EDB55A1" w14:textId="77777777" w:rsidR="005D4399" w:rsidRPr="001278B6" w:rsidRDefault="005D4399" w:rsidP="001278B6">
            <w:pPr>
              <w:pStyle w:val="TableParagraph"/>
              <w:widowControl/>
              <w:adjustRightInd w:val="0"/>
              <w:snapToGrid w:val="0"/>
              <w:rPr>
                <w:snapToGrid w:val="0"/>
                <w:sz w:val="20"/>
                <w:lang w:val="da-DK"/>
              </w:rPr>
            </w:pPr>
            <w:r w:rsidRPr="001278B6">
              <w:rPr>
                <w:i/>
                <w:snapToGrid w:val="0"/>
                <w:sz w:val="20"/>
                <w:lang w:val="da-DK"/>
              </w:rPr>
              <w:tab/>
            </w:r>
            <w:r w:rsidRPr="00F466A3">
              <w:rPr>
                <w:iCs/>
                <w:snapToGrid w:val="0"/>
                <w:sz w:val="20"/>
                <w:lang w:val="da-DK"/>
              </w:rPr>
              <w:t>Hazard</w:t>
            </w:r>
            <w:r w:rsidRPr="001278B6">
              <w:rPr>
                <w:i/>
                <w:snapToGrid w:val="0"/>
                <w:sz w:val="20"/>
                <w:lang w:val="da-DK"/>
              </w:rPr>
              <w:t xml:space="preserve"> </w:t>
            </w:r>
            <w:r w:rsidRPr="001278B6">
              <w:rPr>
                <w:snapToGrid w:val="0"/>
                <w:sz w:val="20"/>
                <w:lang w:val="da-DK"/>
              </w:rPr>
              <w:t>ratio</w:t>
            </w:r>
          </w:p>
        </w:tc>
        <w:tc>
          <w:tcPr>
            <w:tcW w:w="2301" w:type="dxa"/>
          </w:tcPr>
          <w:p w14:paraId="5F70D58E" w14:textId="77777777" w:rsidR="005D4399" w:rsidRPr="001278B6" w:rsidRDefault="005D4399" w:rsidP="001278B6">
            <w:pPr>
              <w:pStyle w:val="TableParagraph"/>
              <w:widowControl/>
              <w:adjustRightInd w:val="0"/>
              <w:snapToGrid w:val="0"/>
              <w:rPr>
                <w:snapToGrid w:val="0"/>
                <w:sz w:val="20"/>
                <w:lang w:val="da-DK"/>
              </w:rPr>
            </w:pPr>
          </w:p>
        </w:tc>
        <w:tc>
          <w:tcPr>
            <w:tcW w:w="2334" w:type="dxa"/>
          </w:tcPr>
          <w:p w14:paraId="06BDA126" w14:textId="77777777" w:rsidR="005D4399" w:rsidRPr="005476B6" w:rsidRDefault="005D4399">
            <w:pPr>
              <w:pStyle w:val="TableParagraph"/>
              <w:widowControl/>
              <w:adjustRightInd w:val="0"/>
              <w:snapToGrid w:val="0"/>
              <w:jc w:val="center"/>
              <w:rPr>
                <w:snapToGrid w:val="0"/>
                <w:sz w:val="20"/>
                <w:lang w:val="da-DK"/>
              </w:rPr>
            </w:pPr>
            <w:r w:rsidRPr="001278B6">
              <w:rPr>
                <w:snapToGrid w:val="0"/>
                <w:sz w:val="20"/>
                <w:lang w:val="da-DK"/>
              </w:rPr>
              <w:t>0,93</w:t>
            </w:r>
          </w:p>
          <w:p w14:paraId="33DBEC3F" w14:textId="77777777" w:rsidR="005D4399" w:rsidRPr="001278B6" w:rsidRDefault="005D4399">
            <w:pPr>
              <w:pStyle w:val="TableParagraph"/>
              <w:adjustRightInd w:val="0"/>
              <w:snapToGrid w:val="0"/>
              <w:jc w:val="center"/>
              <w:rPr>
                <w:snapToGrid w:val="0"/>
                <w:sz w:val="20"/>
                <w:lang w:val="da-DK"/>
              </w:rPr>
            </w:pPr>
            <w:r w:rsidRPr="001278B6">
              <w:rPr>
                <w:snapToGrid w:val="0"/>
                <w:sz w:val="20"/>
                <w:lang w:val="da-DK"/>
              </w:rPr>
              <w:t>[0,78</w:t>
            </w:r>
            <w:r w:rsidR="004B3750">
              <w:rPr>
                <w:snapToGrid w:val="0"/>
                <w:sz w:val="20"/>
                <w:lang w:val="da-DK"/>
              </w:rPr>
              <w:noBreakHyphen/>
            </w:r>
            <w:r w:rsidRPr="001278B6">
              <w:rPr>
                <w:snapToGrid w:val="0"/>
                <w:sz w:val="20"/>
                <w:lang w:val="da-DK"/>
              </w:rPr>
              <w:t>1,11]</w:t>
            </w:r>
          </w:p>
        </w:tc>
        <w:tc>
          <w:tcPr>
            <w:tcW w:w="2410" w:type="dxa"/>
          </w:tcPr>
          <w:p w14:paraId="170304A1" w14:textId="77777777" w:rsidR="005D4399" w:rsidRPr="005476B6" w:rsidRDefault="005D4399">
            <w:pPr>
              <w:pStyle w:val="TableParagraph"/>
              <w:widowControl/>
              <w:adjustRightInd w:val="0"/>
              <w:snapToGrid w:val="0"/>
              <w:jc w:val="center"/>
              <w:rPr>
                <w:snapToGrid w:val="0"/>
                <w:sz w:val="20"/>
                <w:lang w:val="da-DK"/>
              </w:rPr>
            </w:pPr>
            <w:r w:rsidRPr="001278B6">
              <w:rPr>
                <w:snapToGrid w:val="0"/>
                <w:sz w:val="20"/>
                <w:lang w:val="da-DK"/>
              </w:rPr>
              <w:t>1,03</w:t>
            </w:r>
          </w:p>
          <w:p w14:paraId="69D562DC" w14:textId="77777777" w:rsidR="005D4399" w:rsidRPr="001278B6" w:rsidRDefault="005D4399">
            <w:pPr>
              <w:pStyle w:val="TableParagraph"/>
              <w:adjustRightInd w:val="0"/>
              <w:snapToGrid w:val="0"/>
              <w:jc w:val="center"/>
              <w:rPr>
                <w:snapToGrid w:val="0"/>
                <w:sz w:val="20"/>
                <w:lang w:val="da-DK"/>
              </w:rPr>
            </w:pPr>
            <w:r w:rsidRPr="001278B6">
              <w:rPr>
                <w:snapToGrid w:val="0"/>
                <w:sz w:val="20"/>
                <w:lang w:val="da-DK"/>
              </w:rPr>
              <w:t>[0,86</w:t>
            </w:r>
            <w:r w:rsidR="004B3750">
              <w:rPr>
                <w:snapToGrid w:val="0"/>
                <w:sz w:val="20"/>
                <w:lang w:val="da-DK"/>
              </w:rPr>
              <w:noBreakHyphen/>
            </w:r>
            <w:r w:rsidRPr="001278B6">
              <w:rPr>
                <w:snapToGrid w:val="0"/>
                <w:sz w:val="20"/>
                <w:lang w:val="da-DK"/>
              </w:rPr>
              <w:t>1,23]</w:t>
            </w:r>
          </w:p>
        </w:tc>
      </w:tr>
    </w:tbl>
    <w:p w14:paraId="0D72E78F" w14:textId="77777777" w:rsidR="00A13C67" w:rsidRPr="001278B6" w:rsidRDefault="00A13C67" w:rsidP="001278B6">
      <w:pPr>
        <w:widowControl/>
        <w:adjustRightInd w:val="0"/>
        <w:snapToGrid w:val="0"/>
        <w:rPr>
          <w:i/>
          <w:snapToGrid w:val="0"/>
          <w:sz w:val="18"/>
          <w:szCs w:val="18"/>
          <w:lang w:val="da-DK"/>
        </w:rPr>
      </w:pPr>
      <w:r w:rsidRPr="001278B6">
        <w:rPr>
          <w:snapToGrid w:val="0"/>
          <w:sz w:val="18"/>
          <w:szCs w:val="18"/>
          <w:vertAlign w:val="superscript"/>
          <w:lang w:val="da-DK"/>
        </w:rPr>
        <w:t>a</w:t>
      </w:r>
      <w:r w:rsidR="000A41ED" w:rsidRPr="001278B6">
        <w:rPr>
          <w:snapToGrid w:val="0"/>
          <w:sz w:val="18"/>
          <w:szCs w:val="18"/>
          <w:lang w:val="da-DK"/>
        </w:rPr>
        <w:t xml:space="preserve"> </w:t>
      </w:r>
      <w:r w:rsidRPr="001278B6">
        <w:rPr>
          <w:snapToGrid w:val="0"/>
          <w:sz w:val="18"/>
          <w:szCs w:val="18"/>
          <w:lang w:val="da-DK"/>
        </w:rPr>
        <w:t xml:space="preserve">patienter med målbar sygdom ved </w:t>
      </w:r>
      <w:r w:rsidRPr="001278B6">
        <w:rPr>
          <w:i/>
          <w:snapToGrid w:val="0"/>
          <w:sz w:val="18"/>
          <w:szCs w:val="18"/>
          <w:lang w:val="da-DK"/>
        </w:rPr>
        <w:t>baseline</w:t>
      </w:r>
    </w:p>
    <w:p w14:paraId="0C2A1439" w14:textId="77777777" w:rsidR="003563EF" w:rsidRPr="001278B6" w:rsidRDefault="003563EF" w:rsidP="001278B6">
      <w:pPr>
        <w:pStyle w:val="a3"/>
        <w:widowControl/>
        <w:adjustRightInd w:val="0"/>
        <w:snapToGrid w:val="0"/>
        <w:rPr>
          <w:i/>
          <w:snapToGrid w:val="0"/>
          <w:lang w:val="da-DK"/>
        </w:rPr>
      </w:pPr>
    </w:p>
    <w:p w14:paraId="455675D2"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1.</w:t>
      </w:r>
      <w:r w:rsidR="004B3750">
        <w:rPr>
          <w:i/>
          <w:snapToGrid w:val="0"/>
          <w:lang w:val="da-DK"/>
        </w:rPr>
        <w:noBreakHyphen/>
      </w:r>
      <w:r w:rsidRPr="001278B6">
        <w:rPr>
          <w:i/>
          <w:snapToGrid w:val="0"/>
          <w:lang w:val="da-DK"/>
        </w:rPr>
        <w:t>linjebehandling af ikke</w:t>
      </w:r>
      <w:r w:rsidR="004B3750">
        <w:rPr>
          <w:i/>
          <w:snapToGrid w:val="0"/>
          <w:lang w:val="da-DK"/>
        </w:rPr>
        <w:noBreakHyphen/>
      </w:r>
      <w:r w:rsidRPr="001278B6">
        <w:rPr>
          <w:i/>
          <w:snapToGrid w:val="0"/>
          <w:lang w:val="da-DK"/>
        </w:rPr>
        <w:t>planocellulær NSCLC med EGFR aktiverende mutationer i kombination med erlotinib</w:t>
      </w:r>
    </w:p>
    <w:p w14:paraId="20F2CC16" w14:textId="77777777" w:rsidR="003563EF" w:rsidRPr="001278B6" w:rsidRDefault="003563EF" w:rsidP="001278B6">
      <w:pPr>
        <w:pStyle w:val="a3"/>
        <w:keepNext/>
        <w:keepLines/>
        <w:widowControl/>
        <w:adjustRightInd w:val="0"/>
        <w:snapToGrid w:val="0"/>
        <w:rPr>
          <w:i/>
          <w:snapToGrid w:val="0"/>
          <w:lang w:val="da-DK"/>
        </w:rPr>
      </w:pPr>
    </w:p>
    <w:p w14:paraId="1D8C36D2"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JO25567</w:t>
      </w:r>
    </w:p>
    <w:p w14:paraId="271FCD10" w14:textId="77777777" w:rsidR="003563EF" w:rsidRDefault="00473235">
      <w:pPr>
        <w:pStyle w:val="a3"/>
        <w:widowControl/>
        <w:adjustRightInd w:val="0"/>
        <w:snapToGrid w:val="0"/>
        <w:rPr>
          <w:snapToGrid w:val="0"/>
          <w:lang w:val="da-DK"/>
        </w:rPr>
      </w:pPr>
      <w:r w:rsidRPr="001278B6">
        <w:rPr>
          <w:snapToGrid w:val="0"/>
          <w:lang w:val="da-DK"/>
        </w:rPr>
        <w:t xml:space="preserve">Studie JO25567 var et randomiseret, åbent fase II multicenterstudie, gennemført i Japan, for at vurdere effekten og sikkerheden af </w:t>
      </w:r>
      <w:r w:rsidR="00D272FA">
        <w:rPr>
          <w:snapToGrid w:val="0"/>
          <w:lang w:val="da-DK"/>
        </w:rPr>
        <w:t>bevacizumab</w:t>
      </w:r>
      <w:r w:rsidRPr="001278B6">
        <w:rPr>
          <w:snapToGrid w:val="0"/>
          <w:lang w:val="da-DK"/>
        </w:rPr>
        <w:t>, som tillæg til erlotinib, hos patienter med ikke</w:t>
      </w:r>
      <w:r w:rsidR="004B3750">
        <w:rPr>
          <w:snapToGrid w:val="0"/>
          <w:lang w:val="da-DK"/>
        </w:rPr>
        <w:noBreakHyphen/>
      </w:r>
      <w:r w:rsidRPr="001278B6">
        <w:rPr>
          <w:snapToGrid w:val="0"/>
          <w:lang w:val="da-DK"/>
        </w:rPr>
        <w:t>planocellulær NSCLC med EGFR</w:t>
      </w:r>
      <w:r w:rsidR="004B3750">
        <w:rPr>
          <w:snapToGrid w:val="0"/>
          <w:lang w:val="da-DK"/>
        </w:rPr>
        <w:noBreakHyphen/>
      </w:r>
      <w:r w:rsidRPr="001278B6">
        <w:rPr>
          <w:snapToGrid w:val="0"/>
          <w:lang w:val="da-DK"/>
        </w:rPr>
        <w:t>aktiverende mutationer (exon 19</w:t>
      </w:r>
      <w:r w:rsidR="004B3750">
        <w:rPr>
          <w:snapToGrid w:val="0"/>
          <w:lang w:val="da-DK"/>
        </w:rPr>
        <w:noBreakHyphen/>
      </w:r>
      <w:r w:rsidRPr="001278B6">
        <w:rPr>
          <w:snapToGrid w:val="0"/>
          <w:lang w:val="da-DK"/>
        </w:rPr>
        <w:t>deletion eller exon 21L858R</w:t>
      </w:r>
      <w:r w:rsidR="004B3750">
        <w:rPr>
          <w:snapToGrid w:val="0"/>
          <w:lang w:val="da-DK"/>
        </w:rPr>
        <w:noBreakHyphen/>
      </w:r>
      <w:r w:rsidRPr="001278B6">
        <w:rPr>
          <w:snapToGrid w:val="0"/>
          <w:lang w:val="da-DK"/>
        </w:rPr>
        <w:t>mutation), som ikke tidligere havde fået systemisk behandling af grad IIIB/IV</w:t>
      </w:r>
      <w:r w:rsidR="004B3750">
        <w:rPr>
          <w:snapToGrid w:val="0"/>
          <w:lang w:val="da-DK"/>
        </w:rPr>
        <w:noBreakHyphen/>
      </w:r>
      <w:r w:rsidRPr="001278B6">
        <w:rPr>
          <w:snapToGrid w:val="0"/>
          <w:lang w:val="da-DK"/>
        </w:rPr>
        <w:t xml:space="preserve"> eller recidiverende sygdom.</w:t>
      </w:r>
    </w:p>
    <w:p w14:paraId="0A0AB030" w14:textId="77777777" w:rsidR="00995C4F" w:rsidRPr="001278B6" w:rsidRDefault="00995C4F" w:rsidP="001278B6">
      <w:pPr>
        <w:pStyle w:val="a3"/>
        <w:widowControl/>
        <w:adjustRightInd w:val="0"/>
        <w:snapToGrid w:val="0"/>
        <w:rPr>
          <w:snapToGrid w:val="0"/>
          <w:lang w:val="da-DK"/>
        </w:rPr>
      </w:pPr>
    </w:p>
    <w:p w14:paraId="5715DEF4" w14:textId="2FFB6088" w:rsidR="003563EF" w:rsidRDefault="00473235">
      <w:pPr>
        <w:pStyle w:val="a3"/>
        <w:widowControl/>
        <w:adjustRightInd w:val="0"/>
        <w:snapToGrid w:val="0"/>
        <w:rPr>
          <w:snapToGrid w:val="0"/>
          <w:lang w:val="da-DK"/>
        </w:rPr>
      </w:pPr>
      <w:r w:rsidRPr="001278B6">
        <w:rPr>
          <w:snapToGrid w:val="0"/>
          <w:lang w:val="da-DK"/>
        </w:rPr>
        <w:t>Det primære endepunkt var</w:t>
      </w:r>
      <w:r w:rsidR="00D272FA">
        <w:rPr>
          <w:snapToGrid w:val="0"/>
          <w:lang w:val="da-DK"/>
        </w:rPr>
        <w:t xml:space="preserve"> PFS</w:t>
      </w:r>
      <w:r w:rsidRPr="001278B6">
        <w:rPr>
          <w:snapToGrid w:val="0"/>
          <w:lang w:val="da-DK"/>
        </w:rPr>
        <w:t xml:space="preserve"> baseret på vurdering af en ufhængig evalueringskomité. De sekundære endepunkter inkluderede </w:t>
      </w:r>
      <w:r w:rsidR="003A616F">
        <w:rPr>
          <w:snapToGrid w:val="0"/>
          <w:lang w:val="da-DK"/>
        </w:rPr>
        <w:t>OS</w:t>
      </w:r>
      <w:r w:rsidRPr="001278B6">
        <w:rPr>
          <w:snapToGrid w:val="0"/>
          <w:lang w:val="da-DK"/>
        </w:rPr>
        <w:t>, responsrate, sygdomskontrolrate, responsvarighed og sikkerhed.</w:t>
      </w:r>
    </w:p>
    <w:p w14:paraId="7D171559" w14:textId="77777777" w:rsidR="00995C4F" w:rsidRPr="001278B6" w:rsidRDefault="00995C4F" w:rsidP="001278B6">
      <w:pPr>
        <w:pStyle w:val="a3"/>
        <w:widowControl/>
        <w:adjustRightInd w:val="0"/>
        <w:snapToGrid w:val="0"/>
        <w:rPr>
          <w:snapToGrid w:val="0"/>
          <w:lang w:val="da-DK"/>
        </w:rPr>
      </w:pPr>
    </w:p>
    <w:p w14:paraId="799AE7F2" w14:textId="77777777"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EGFR</w:t>
      </w:r>
      <w:r w:rsidR="004B3750">
        <w:rPr>
          <w:snapToGrid w:val="0"/>
          <w:lang w:val="da-DK"/>
        </w:rPr>
        <w:noBreakHyphen/>
      </w:r>
      <w:r w:rsidRPr="001278B6">
        <w:rPr>
          <w:snapToGrid w:val="0"/>
          <w:lang w:val="da-DK"/>
        </w:rPr>
        <w:t xml:space="preserve">mutationsstatus blev bestemt for hver patient før patientscreening og 154 patienter blev randomiseret til at få enten erlotinib + </w:t>
      </w:r>
      <w:r w:rsidR="00D272FA">
        <w:rPr>
          <w:snapToGrid w:val="0"/>
          <w:lang w:val="da-DK"/>
        </w:rPr>
        <w:t>bevacizumab</w:t>
      </w:r>
      <w:r w:rsidRPr="001278B6">
        <w:rPr>
          <w:snapToGrid w:val="0"/>
          <w:lang w:val="da-DK"/>
        </w:rPr>
        <w:t xml:space="preserve"> (oralt erlotinib 150</w:t>
      </w:r>
      <w:r w:rsidR="0074036C">
        <w:rPr>
          <w:snapToGrid w:val="0"/>
          <w:lang w:val="da-DK"/>
        </w:rPr>
        <w:t> mg</w:t>
      </w:r>
      <w:r w:rsidRPr="001278B6">
        <w:rPr>
          <w:snapToGrid w:val="0"/>
          <w:lang w:val="da-DK"/>
        </w:rPr>
        <w:t xml:space="preserve"> dagligt + </w:t>
      </w:r>
      <w:r w:rsidR="00D272FA">
        <w:rPr>
          <w:snapToGrid w:val="0"/>
          <w:lang w:val="da-DK"/>
        </w:rPr>
        <w:t>bevacizumab</w:t>
      </w:r>
      <w:r w:rsidRPr="001278B6">
        <w:rPr>
          <w:snapToGrid w:val="0"/>
          <w:lang w:val="da-DK"/>
        </w:rPr>
        <w:t xml:space="preserve"> [15 mg/kg</w:t>
      </w:r>
      <w:r w:rsidR="00D272FA">
        <w:rPr>
          <w:snapToGrid w:val="0"/>
          <w:lang w:val="da-DK"/>
        </w:rPr>
        <w:t xml:space="preserve"> intravenøst</w:t>
      </w:r>
      <w:r w:rsidRPr="001278B6">
        <w:rPr>
          <w:snapToGrid w:val="0"/>
          <w:lang w:val="da-DK"/>
        </w:rPr>
        <w:t xml:space="preserve"> hver 3. uge]) eller erlotinib</w:t>
      </w:r>
      <w:r w:rsidR="004B3750">
        <w:rPr>
          <w:snapToGrid w:val="0"/>
          <w:lang w:val="da-DK"/>
        </w:rPr>
        <w:noBreakHyphen/>
      </w:r>
      <w:r w:rsidRPr="001278B6">
        <w:rPr>
          <w:snapToGrid w:val="0"/>
          <w:lang w:val="da-DK"/>
        </w:rPr>
        <w:t xml:space="preserve">monoterapi (oralt 150 mg dagligt) indtil sygdomsprogression eller uacceptabel toksicitet. Hvis sygdomsprogressionen ikke forekom, medførte seponering af den ene komponent i studiemedicinen i erlotinib + </w:t>
      </w:r>
      <w:r w:rsidR="00D272FA">
        <w:rPr>
          <w:snapToGrid w:val="0"/>
          <w:lang w:val="da-DK"/>
        </w:rPr>
        <w:t>bevacizumab</w:t>
      </w:r>
      <w:r w:rsidR="004B3750">
        <w:rPr>
          <w:snapToGrid w:val="0"/>
          <w:lang w:val="da-DK"/>
        </w:rPr>
        <w:noBreakHyphen/>
      </w:r>
      <w:r w:rsidRPr="001278B6">
        <w:rPr>
          <w:snapToGrid w:val="0"/>
          <w:lang w:val="da-DK"/>
        </w:rPr>
        <w:t>armen ikke seponering af den anden komponent jfr. studieprotokollen.</w:t>
      </w:r>
    </w:p>
    <w:p w14:paraId="46C12F6A" w14:textId="77777777" w:rsidR="0079124A" w:rsidRPr="001278B6" w:rsidRDefault="0079124A" w:rsidP="001278B6">
      <w:pPr>
        <w:widowControl/>
        <w:adjustRightInd w:val="0"/>
        <w:snapToGrid w:val="0"/>
        <w:rPr>
          <w:snapToGrid w:val="0"/>
          <w:lang w:val="da-DK"/>
        </w:rPr>
      </w:pPr>
    </w:p>
    <w:p w14:paraId="7C44E320" w14:textId="77777777" w:rsidR="003563EF" w:rsidRPr="001278B6" w:rsidRDefault="00473235" w:rsidP="001278B6">
      <w:pPr>
        <w:pStyle w:val="a3"/>
        <w:widowControl/>
        <w:adjustRightInd w:val="0"/>
        <w:snapToGrid w:val="0"/>
        <w:rPr>
          <w:snapToGrid w:val="0"/>
          <w:lang w:val="da-DK"/>
        </w:rPr>
      </w:pPr>
      <w:r w:rsidRPr="001278B6">
        <w:rPr>
          <w:snapToGrid w:val="0"/>
          <w:lang w:val="da-DK"/>
        </w:rPr>
        <w:t>Effektresultater for studiet er vist i tabel 14.</w:t>
      </w:r>
    </w:p>
    <w:p w14:paraId="5DF44209" w14:textId="77777777" w:rsidR="00AD71D9" w:rsidRDefault="00AD71D9" w:rsidP="00747393">
      <w:pPr>
        <w:rPr>
          <w:snapToGrid w:val="0"/>
          <w:lang w:val="da-DK"/>
        </w:rPr>
      </w:pPr>
    </w:p>
    <w:p w14:paraId="7E9645AE" w14:textId="75EC2829" w:rsidR="003563EF" w:rsidRPr="007F7673" w:rsidRDefault="00473235" w:rsidP="007F7673">
      <w:pPr>
        <w:ind w:left="1134" w:hanging="1134"/>
        <w:rPr>
          <w:b/>
          <w:bCs/>
          <w:snapToGrid w:val="0"/>
          <w:lang w:val="da-DK"/>
        </w:rPr>
      </w:pPr>
      <w:r w:rsidRPr="007F7673">
        <w:rPr>
          <w:b/>
          <w:bCs/>
          <w:snapToGrid w:val="0"/>
          <w:lang w:val="da-DK"/>
        </w:rPr>
        <w:t>Tabel 14</w:t>
      </w:r>
      <w:r w:rsidR="00A95F2C" w:rsidRPr="007F7673">
        <w:rPr>
          <w:b/>
          <w:bCs/>
          <w:snapToGrid w:val="0"/>
          <w:lang w:val="da-DK"/>
        </w:rPr>
        <w:t>.</w:t>
      </w:r>
      <w:r w:rsidRPr="007F7673">
        <w:rPr>
          <w:b/>
          <w:bCs/>
          <w:snapToGrid w:val="0"/>
          <w:lang w:val="da-DK"/>
        </w:rPr>
        <w:tab/>
        <w:t>Effektresultater for studie JO25567</w:t>
      </w:r>
    </w:p>
    <w:p w14:paraId="65FC326C"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6"/>
        <w:gridCol w:w="1885"/>
        <w:gridCol w:w="1885"/>
      </w:tblGrid>
      <w:tr w:rsidR="003563EF" w:rsidRPr="005476B6" w14:paraId="5B0F994B" w14:textId="77777777" w:rsidTr="00F466A3">
        <w:tc>
          <w:tcPr>
            <w:tcW w:w="5432" w:type="dxa"/>
          </w:tcPr>
          <w:p w14:paraId="17275026" w14:textId="77777777" w:rsidR="003563EF" w:rsidRPr="001278B6" w:rsidRDefault="003563EF" w:rsidP="001278B6">
            <w:pPr>
              <w:pStyle w:val="TableParagraph"/>
              <w:keepNext/>
              <w:keepLines/>
              <w:widowControl/>
              <w:adjustRightInd w:val="0"/>
              <w:snapToGrid w:val="0"/>
              <w:rPr>
                <w:snapToGrid w:val="0"/>
                <w:sz w:val="20"/>
                <w:lang w:val="da-DK"/>
              </w:rPr>
            </w:pPr>
          </w:p>
        </w:tc>
        <w:tc>
          <w:tcPr>
            <w:tcW w:w="1930" w:type="dxa"/>
            <w:tcBorders>
              <w:bottom w:val="single" w:sz="4" w:space="0" w:color="auto"/>
            </w:tcBorders>
          </w:tcPr>
          <w:p w14:paraId="5A3A7F65" w14:textId="77777777" w:rsidR="00D0052A"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Erlotinib</w:t>
            </w:r>
          </w:p>
          <w:p w14:paraId="11362B5F"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N = 77</w:t>
            </w:r>
            <w:r w:rsidRPr="001278B6">
              <w:rPr>
                <w:b/>
                <w:snapToGrid w:val="0"/>
                <w:sz w:val="20"/>
                <w:vertAlign w:val="superscript"/>
                <w:lang w:val="da-DK"/>
              </w:rPr>
              <w:t>#</w:t>
            </w:r>
          </w:p>
        </w:tc>
        <w:tc>
          <w:tcPr>
            <w:tcW w:w="1930" w:type="dxa"/>
            <w:tcBorders>
              <w:bottom w:val="single" w:sz="4" w:space="0" w:color="auto"/>
            </w:tcBorders>
          </w:tcPr>
          <w:p w14:paraId="662AA1A5" w14:textId="77777777" w:rsidR="00D0052A"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 xml:space="preserve">Erlotinib + </w:t>
            </w:r>
            <w:r w:rsidR="00D272FA">
              <w:rPr>
                <w:b/>
                <w:snapToGrid w:val="0"/>
                <w:sz w:val="20"/>
                <w:lang w:val="da-DK"/>
              </w:rPr>
              <w:t>Bevacizumab</w:t>
            </w:r>
          </w:p>
          <w:p w14:paraId="0C881162"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N = 75</w:t>
            </w:r>
            <w:r w:rsidRPr="001278B6">
              <w:rPr>
                <w:b/>
                <w:snapToGrid w:val="0"/>
                <w:sz w:val="20"/>
                <w:vertAlign w:val="superscript"/>
                <w:lang w:val="da-DK"/>
              </w:rPr>
              <w:t>#</w:t>
            </w:r>
          </w:p>
        </w:tc>
      </w:tr>
      <w:tr w:rsidR="000E0402" w:rsidRPr="005476B6" w14:paraId="7BB21327" w14:textId="77777777" w:rsidTr="00063788">
        <w:tc>
          <w:tcPr>
            <w:tcW w:w="5432" w:type="dxa"/>
          </w:tcPr>
          <w:p w14:paraId="0078B109" w14:textId="321F1EB8" w:rsidR="000E0402" w:rsidRDefault="00063788" w:rsidP="00660DDF">
            <w:pPr>
              <w:pStyle w:val="TableParagraph"/>
              <w:keepNext/>
              <w:keepLines/>
              <w:widowControl/>
              <w:adjustRightInd w:val="0"/>
              <w:snapToGrid w:val="0"/>
              <w:rPr>
                <w:bCs/>
                <w:snapToGrid w:val="0"/>
                <w:sz w:val="20"/>
                <w:lang w:val="da-DK"/>
              </w:rPr>
            </w:pPr>
            <w:r>
              <w:rPr>
                <w:b/>
                <w:snapToGrid w:val="0"/>
                <w:sz w:val="20"/>
                <w:lang w:val="da-DK"/>
              </w:rPr>
              <w:t>PFS</w:t>
            </w:r>
            <w:r w:rsidR="000E0402" w:rsidRPr="001278B6">
              <w:rPr>
                <w:b/>
                <w:snapToGrid w:val="0"/>
                <w:sz w:val="20"/>
                <w:lang w:val="da-DK"/>
              </w:rPr>
              <w:t>^</w:t>
            </w:r>
            <w:r w:rsidR="000E0402" w:rsidRPr="001278B6">
              <w:rPr>
                <w:bCs/>
                <w:snapToGrid w:val="0"/>
                <w:sz w:val="20"/>
                <w:lang w:val="da-DK"/>
              </w:rPr>
              <w:t xml:space="preserve"> </w:t>
            </w:r>
          </w:p>
          <w:p w14:paraId="56C880EA" w14:textId="29DE0A03" w:rsidR="000E0402" w:rsidRPr="001278B6" w:rsidRDefault="000E0402" w:rsidP="00063788">
            <w:pPr>
              <w:pStyle w:val="TableParagraph"/>
              <w:keepNext/>
              <w:keepLines/>
              <w:widowControl/>
              <w:adjustRightInd w:val="0"/>
              <w:snapToGrid w:val="0"/>
              <w:rPr>
                <w:bCs/>
                <w:snapToGrid w:val="0"/>
                <w:sz w:val="20"/>
                <w:lang w:val="da-DK"/>
              </w:rPr>
            </w:pPr>
            <w:r w:rsidRPr="001278B6">
              <w:rPr>
                <w:bCs/>
                <w:snapToGrid w:val="0"/>
                <w:sz w:val="20"/>
                <w:lang w:val="da-DK"/>
              </w:rPr>
              <w:t>Median</w:t>
            </w:r>
            <w:r w:rsidR="00063788">
              <w:rPr>
                <w:bCs/>
                <w:snapToGrid w:val="0"/>
                <w:sz w:val="20"/>
                <w:lang w:val="da-DK"/>
              </w:rPr>
              <w:t xml:space="preserve"> </w:t>
            </w:r>
            <w:r w:rsidR="00063788" w:rsidRPr="001278B6">
              <w:rPr>
                <w:bCs/>
                <w:snapToGrid w:val="0"/>
                <w:sz w:val="20"/>
                <w:lang w:val="da-DK"/>
              </w:rPr>
              <w:t>(måneder)</w:t>
            </w:r>
          </w:p>
        </w:tc>
        <w:tc>
          <w:tcPr>
            <w:tcW w:w="1930" w:type="dxa"/>
            <w:tcBorders>
              <w:bottom w:val="single" w:sz="4" w:space="0" w:color="auto"/>
            </w:tcBorders>
          </w:tcPr>
          <w:p w14:paraId="65066929" w14:textId="77777777" w:rsidR="000E0402" w:rsidRPr="001278B6" w:rsidRDefault="000E0402" w:rsidP="001278B6">
            <w:pPr>
              <w:pStyle w:val="TableParagraph"/>
              <w:keepNext/>
              <w:keepLines/>
              <w:widowControl/>
              <w:adjustRightInd w:val="0"/>
              <w:snapToGrid w:val="0"/>
              <w:rPr>
                <w:b/>
                <w:snapToGrid w:val="0"/>
                <w:sz w:val="20"/>
                <w:lang w:val="da-DK"/>
              </w:rPr>
            </w:pPr>
          </w:p>
          <w:p w14:paraId="41FD2B74" w14:textId="77777777" w:rsidR="000E0402" w:rsidRPr="001278B6" w:rsidRDefault="000E0402" w:rsidP="001278B6">
            <w:pPr>
              <w:pStyle w:val="TableParagraph"/>
              <w:keepNext/>
              <w:keepLines/>
              <w:widowControl/>
              <w:adjustRightInd w:val="0"/>
              <w:snapToGrid w:val="0"/>
              <w:jc w:val="center"/>
              <w:rPr>
                <w:snapToGrid w:val="0"/>
                <w:sz w:val="20"/>
                <w:lang w:val="da-DK"/>
              </w:rPr>
            </w:pPr>
            <w:r w:rsidRPr="001278B6">
              <w:rPr>
                <w:snapToGrid w:val="0"/>
                <w:sz w:val="20"/>
                <w:lang w:val="da-DK"/>
              </w:rPr>
              <w:t>9,7</w:t>
            </w:r>
          </w:p>
        </w:tc>
        <w:tc>
          <w:tcPr>
            <w:tcW w:w="1930" w:type="dxa"/>
            <w:tcBorders>
              <w:bottom w:val="single" w:sz="4" w:space="0" w:color="auto"/>
            </w:tcBorders>
          </w:tcPr>
          <w:p w14:paraId="2878C7A6" w14:textId="77777777" w:rsidR="000E0402" w:rsidRPr="001278B6" w:rsidRDefault="000E0402" w:rsidP="001278B6">
            <w:pPr>
              <w:pStyle w:val="TableParagraph"/>
              <w:keepNext/>
              <w:keepLines/>
              <w:widowControl/>
              <w:adjustRightInd w:val="0"/>
              <w:snapToGrid w:val="0"/>
              <w:rPr>
                <w:b/>
                <w:snapToGrid w:val="0"/>
                <w:sz w:val="20"/>
                <w:lang w:val="da-DK"/>
              </w:rPr>
            </w:pPr>
          </w:p>
          <w:p w14:paraId="3C900239" w14:textId="77777777" w:rsidR="000E0402" w:rsidRPr="001278B6" w:rsidRDefault="000E0402" w:rsidP="001278B6">
            <w:pPr>
              <w:pStyle w:val="TableParagraph"/>
              <w:keepNext/>
              <w:keepLines/>
              <w:widowControl/>
              <w:adjustRightInd w:val="0"/>
              <w:snapToGrid w:val="0"/>
              <w:jc w:val="center"/>
              <w:rPr>
                <w:snapToGrid w:val="0"/>
                <w:sz w:val="20"/>
                <w:lang w:val="da-DK"/>
              </w:rPr>
            </w:pPr>
            <w:r w:rsidRPr="001278B6">
              <w:rPr>
                <w:snapToGrid w:val="0"/>
                <w:sz w:val="20"/>
                <w:lang w:val="da-DK"/>
              </w:rPr>
              <w:t>16,0</w:t>
            </w:r>
          </w:p>
        </w:tc>
      </w:tr>
      <w:tr w:rsidR="000E0402" w:rsidRPr="005476B6" w14:paraId="6B99668F" w14:textId="77777777" w:rsidTr="00063788">
        <w:trPr>
          <w:trHeight w:val="470"/>
        </w:trPr>
        <w:tc>
          <w:tcPr>
            <w:tcW w:w="5432" w:type="dxa"/>
          </w:tcPr>
          <w:p w14:paraId="3DD3A016" w14:textId="77777777" w:rsidR="00063788" w:rsidRPr="001278B6" w:rsidRDefault="00063788" w:rsidP="00063788">
            <w:pPr>
              <w:pStyle w:val="TableParagraph"/>
              <w:widowControl/>
              <w:adjustRightInd w:val="0"/>
              <w:snapToGrid w:val="0"/>
              <w:rPr>
                <w:snapToGrid w:val="0"/>
                <w:sz w:val="20"/>
                <w:lang w:val="da-DK"/>
              </w:rPr>
            </w:pPr>
            <w:r w:rsidRPr="001278B6">
              <w:rPr>
                <w:snapToGrid w:val="0"/>
                <w:sz w:val="20"/>
                <w:lang w:val="da-DK"/>
              </w:rPr>
              <w:t>HR (95% konfidensinterval)</w:t>
            </w:r>
          </w:p>
          <w:p w14:paraId="7995C630" w14:textId="7AB141EF" w:rsidR="000E0402" w:rsidRPr="001278B6" w:rsidRDefault="00063788" w:rsidP="00063788">
            <w:pPr>
              <w:pStyle w:val="TableParagraph"/>
              <w:widowControl/>
              <w:adjustRightInd w:val="0"/>
              <w:snapToGrid w:val="0"/>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værdi</w:t>
            </w:r>
          </w:p>
        </w:tc>
        <w:tc>
          <w:tcPr>
            <w:tcW w:w="3860" w:type="dxa"/>
            <w:gridSpan w:val="2"/>
            <w:tcBorders>
              <w:top w:val="single" w:sz="4" w:space="0" w:color="auto"/>
              <w:bottom w:val="single" w:sz="4" w:space="0" w:color="auto"/>
            </w:tcBorders>
          </w:tcPr>
          <w:p w14:paraId="01E10592"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0,54 (0,36; 0,79)</w:t>
            </w:r>
          </w:p>
          <w:p w14:paraId="309F5555"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0,0015</w:t>
            </w:r>
          </w:p>
        </w:tc>
      </w:tr>
      <w:tr w:rsidR="000E0402" w:rsidRPr="005476B6" w14:paraId="053C0239" w14:textId="77777777" w:rsidTr="00063788">
        <w:tc>
          <w:tcPr>
            <w:tcW w:w="5432" w:type="dxa"/>
          </w:tcPr>
          <w:p w14:paraId="77007422" w14:textId="77777777" w:rsidR="000E0402" w:rsidRPr="001278B6" w:rsidRDefault="000E0402" w:rsidP="001278B6">
            <w:pPr>
              <w:pStyle w:val="TableParagraph"/>
              <w:widowControl/>
              <w:adjustRightInd w:val="0"/>
              <w:snapToGrid w:val="0"/>
              <w:rPr>
                <w:b/>
                <w:snapToGrid w:val="0"/>
                <w:sz w:val="20"/>
                <w:lang w:val="da-DK"/>
              </w:rPr>
            </w:pPr>
            <w:r w:rsidRPr="001278B6">
              <w:rPr>
                <w:b/>
                <w:snapToGrid w:val="0"/>
                <w:sz w:val="20"/>
                <w:lang w:val="da-DK"/>
              </w:rPr>
              <w:t>Samlet responsrate</w:t>
            </w:r>
          </w:p>
          <w:p w14:paraId="6D899044" w14:textId="0F57B8FA" w:rsidR="000E0402" w:rsidRPr="001278B6" w:rsidRDefault="000E0402" w:rsidP="00063788">
            <w:pPr>
              <w:pStyle w:val="TableParagraph"/>
              <w:widowControl/>
              <w:adjustRightInd w:val="0"/>
              <w:snapToGrid w:val="0"/>
              <w:rPr>
                <w:snapToGrid w:val="0"/>
                <w:sz w:val="20"/>
                <w:lang w:val="da-DK"/>
              </w:rPr>
            </w:pPr>
            <w:r w:rsidRPr="001278B6">
              <w:rPr>
                <w:snapToGrid w:val="0"/>
                <w:sz w:val="20"/>
                <w:lang w:val="da-DK"/>
              </w:rPr>
              <w:t xml:space="preserve">Rate (n) </w:t>
            </w:r>
          </w:p>
        </w:tc>
        <w:tc>
          <w:tcPr>
            <w:tcW w:w="1930" w:type="dxa"/>
            <w:tcBorders>
              <w:bottom w:val="single" w:sz="4" w:space="0" w:color="auto"/>
            </w:tcBorders>
          </w:tcPr>
          <w:p w14:paraId="51707A89" w14:textId="77777777" w:rsidR="000E0402" w:rsidRPr="001278B6" w:rsidRDefault="000E0402" w:rsidP="001278B6">
            <w:pPr>
              <w:pStyle w:val="TableParagraph"/>
              <w:widowControl/>
              <w:adjustRightInd w:val="0"/>
              <w:snapToGrid w:val="0"/>
              <w:rPr>
                <w:b/>
                <w:snapToGrid w:val="0"/>
                <w:sz w:val="20"/>
                <w:lang w:val="da-DK"/>
              </w:rPr>
            </w:pPr>
          </w:p>
          <w:p w14:paraId="6319C118"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63,6 % (49)</w:t>
            </w:r>
          </w:p>
        </w:tc>
        <w:tc>
          <w:tcPr>
            <w:tcW w:w="1930" w:type="dxa"/>
            <w:tcBorders>
              <w:bottom w:val="single" w:sz="4" w:space="0" w:color="auto"/>
            </w:tcBorders>
          </w:tcPr>
          <w:p w14:paraId="6E11A210" w14:textId="77777777" w:rsidR="000E0402" w:rsidRPr="001278B6" w:rsidRDefault="000E0402" w:rsidP="001278B6">
            <w:pPr>
              <w:pStyle w:val="TableParagraph"/>
              <w:widowControl/>
              <w:adjustRightInd w:val="0"/>
              <w:snapToGrid w:val="0"/>
              <w:rPr>
                <w:b/>
                <w:snapToGrid w:val="0"/>
                <w:sz w:val="20"/>
                <w:lang w:val="da-DK"/>
              </w:rPr>
            </w:pPr>
          </w:p>
          <w:p w14:paraId="358332AE"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69,3 % (52)</w:t>
            </w:r>
          </w:p>
        </w:tc>
      </w:tr>
      <w:tr w:rsidR="000E0402" w:rsidRPr="005476B6" w14:paraId="6933BE7C" w14:textId="77777777" w:rsidTr="00063788">
        <w:tc>
          <w:tcPr>
            <w:tcW w:w="5432" w:type="dxa"/>
          </w:tcPr>
          <w:p w14:paraId="6A2E0358" w14:textId="13C889B6" w:rsidR="000E0402" w:rsidRPr="001278B6" w:rsidRDefault="00063788" w:rsidP="001278B6">
            <w:pPr>
              <w:widowControl/>
              <w:adjustRightInd w:val="0"/>
              <w:snapToGrid w:val="0"/>
              <w:rPr>
                <w:snapToGrid w:val="0"/>
                <w:sz w:val="20"/>
                <w:szCs w:val="2"/>
                <w:lang w:val="da-DK"/>
              </w:rPr>
            </w:pPr>
            <w:r w:rsidRPr="001278B6">
              <w:rPr>
                <w:snapToGrid w:val="0"/>
                <w:sz w:val="20"/>
                <w:lang w:val="da-DK"/>
              </w:rPr>
              <w:t>p</w:t>
            </w:r>
            <w:r>
              <w:rPr>
                <w:snapToGrid w:val="0"/>
                <w:sz w:val="20"/>
                <w:lang w:val="da-DK"/>
              </w:rPr>
              <w:noBreakHyphen/>
            </w:r>
            <w:r w:rsidRPr="001278B6">
              <w:rPr>
                <w:snapToGrid w:val="0"/>
                <w:sz w:val="20"/>
                <w:lang w:val="da-DK"/>
              </w:rPr>
              <w:t>værdi</w:t>
            </w:r>
          </w:p>
        </w:tc>
        <w:tc>
          <w:tcPr>
            <w:tcW w:w="3860" w:type="dxa"/>
            <w:gridSpan w:val="2"/>
            <w:tcBorders>
              <w:top w:val="single" w:sz="4" w:space="0" w:color="auto"/>
              <w:bottom w:val="single" w:sz="4" w:space="0" w:color="auto"/>
            </w:tcBorders>
          </w:tcPr>
          <w:p w14:paraId="0243417B"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0,4951</w:t>
            </w:r>
          </w:p>
        </w:tc>
      </w:tr>
      <w:tr w:rsidR="000E0402" w:rsidRPr="005476B6" w14:paraId="26C7E104" w14:textId="77777777" w:rsidTr="00063788">
        <w:tc>
          <w:tcPr>
            <w:tcW w:w="5432" w:type="dxa"/>
          </w:tcPr>
          <w:p w14:paraId="011F7ABD" w14:textId="77777777" w:rsidR="000E0402" w:rsidRDefault="000E0402" w:rsidP="005C683A">
            <w:pPr>
              <w:pStyle w:val="TableParagraph"/>
              <w:widowControl/>
              <w:adjustRightInd w:val="0"/>
              <w:snapToGrid w:val="0"/>
              <w:rPr>
                <w:snapToGrid w:val="0"/>
                <w:sz w:val="20"/>
                <w:lang w:val="da-DK"/>
              </w:rPr>
            </w:pPr>
            <w:r w:rsidRPr="001278B6">
              <w:rPr>
                <w:b/>
                <w:snapToGrid w:val="0"/>
                <w:sz w:val="20"/>
                <w:lang w:val="da-DK"/>
              </w:rPr>
              <w:t>Samlet overlevelse</w:t>
            </w:r>
            <w:r w:rsidRPr="001278B6">
              <w:rPr>
                <w:bCs/>
                <w:snapToGrid w:val="0"/>
                <w:sz w:val="20"/>
                <w:lang w:val="da-DK"/>
              </w:rPr>
              <w:t>*</w:t>
            </w:r>
          </w:p>
          <w:p w14:paraId="29E653C9" w14:textId="40F7989A" w:rsidR="000E0402" w:rsidRPr="001278B6" w:rsidRDefault="000E0402" w:rsidP="00063788">
            <w:pPr>
              <w:pStyle w:val="TableParagraph"/>
              <w:widowControl/>
              <w:adjustRightInd w:val="0"/>
              <w:snapToGrid w:val="0"/>
              <w:rPr>
                <w:snapToGrid w:val="0"/>
                <w:sz w:val="20"/>
                <w:lang w:val="da-DK"/>
              </w:rPr>
            </w:pPr>
            <w:r w:rsidRPr="001278B6">
              <w:rPr>
                <w:snapToGrid w:val="0"/>
                <w:sz w:val="20"/>
                <w:lang w:val="da-DK"/>
              </w:rPr>
              <w:t>Median</w:t>
            </w:r>
            <w:r w:rsidR="00D272FA">
              <w:rPr>
                <w:snapToGrid w:val="0"/>
                <w:sz w:val="20"/>
                <w:lang w:val="da-DK"/>
              </w:rPr>
              <w:t xml:space="preserve"> (mån</w:t>
            </w:r>
            <w:r w:rsidR="0074036C">
              <w:rPr>
                <w:snapToGrid w:val="0"/>
                <w:sz w:val="20"/>
                <w:lang w:val="da-DK"/>
              </w:rPr>
              <w:t>e</w:t>
            </w:r>
            <w:r w:rsidR="00D272FA">
              <w:rPr>
                <w:snapToGrid w:val="0"/>
                <w:sz w:val="20"/>
                <w:lang w:val="da-DK"/>
              </w:rPr>
              <w:t>der)</w:t>
            </w:r>
          </w:p>
        </w:tc>
        <w:tc>
          <w:tcPr>
            <w:tcW w:w="1930" w:type="dxa"/>
            <w:tcBorders>
              <w:bottom w:val="single" w:sz="4" w:space="0" w:color="auto"/>
            </w:tcBorders>
          </w:tcPr>
          <w:p w14:paraId="04291A35" w14:textId="77777777" w:rsidR="000E0402" w:rsidRPr="001278B6" w:rsidRDefault="000E0402" w:rsidP="001278B6">
            <w:pPr>
              <w:pStyle w:val="TableParagraph"/>
              <w:widowControl/>
              <w:adjustRightInd w:val="0"/>
              <w:snapToGrid w:val="0"/>
              <w:rPr>
                <w:b/>
                <w:snapToGrid w:val="0"/>
                <w:sz w:val="20"/>
                <w:lang w:val="da-DK"/>
              </w:rPr>
            </w:pPr>
          </w:p>
          <w:p w14:paraId="37DF065C"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47,4</w:t>
            </w:r>
          </w:p>
        </w:tc>
        <w:tc>
          <w:tcPr>
            <w:tcW w:w="1930" w:type="dxa"/>
            <w:tcBorders>
              <w:bottom w:val="single" w:sz="4" w:space="0" w:color="auto"/>
            </w:tcBorders>
          </w:tcPr>
          <w:p w14:paraId="0203C1DE" w14:textId="77777777" w:rsidR="000E0402" w:rsidRPr="001278B6" w:rsidRDefault="000E0402" w:rsidP="001278B6">
            <w:pPr>
              <w:pStyle w:val="TableParagraph"/>
              <w:widowControl/>
              <w:adjustRightInd w:val="0"/>
              <w:snapToGrid w:val="0"/>
              <w:rPr>
                <w:b/>
                <w:snapToGrid w:val="0"/>
                <w:sz w:val="20"/>
                <w:lang w:val="da-DK"/>
              </w:rPr>
            </w:pPr>
          </w:p>
          <w:p w14:paraId="6531138C"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47,0</w:t>
            </w:r>
          </w:p>
        </w:tc>
      </w:tr>
      <w:tr w:rsidR="000E0402" w:rsidRPr="005476B6" w14:paraId="1730B4D9" w14:textId="77777777" w:rsidTr="00063788">
        <w:trPr>
          <w:trHeight w:val="470"/>
        </w:trPr>
        <w:tc>
          <w:tcPr>
            <w:tcW w:w="5432" w:type="dxa"/>
          </w:tcPr>
          <w:p w14:paraId="58B56D42" w14:textId="77777777" w:rsidR="00063788" w:rsidRPr="001278B6" w:rsidRDefault="00063788" w:rsidP="00063788">
            <w:pPr>
              <w:pStyle w:val="TableParagraph"/>
              <w:widowControl/>
              <w:adjustRightInd w:val="0"/>
              <w:snapToGrid w:val="0"/>
              <w:rPr>
                <w:snapToGrid w:val="0"/>
                <w:sz w:val="20"/>
                <w:lang w:val="da-DK"/>
              </w:rPr>
            </w:pPr>
            <w:r w:rsidRPr="001278B6">
              <w:rPr>
                <w:snapToGrid w:val="0"/>
                <w:sz w:val="20"/>
                <w:lang w:val="da-DK"/>
              </w:rPr>
              <w:t>HR (95% konfidensinterval)</w:t>
            </w:r>
          </w:p>
          <w:p w14:paraId="5D102A4C" w14:textId="432D6E91" w:rsidR="000E0402" w:rsidRPr="001278B6" w:rsidRDefault="00063788" w:rsidP="00063788">
            <w:pPr>
              <w:pStyle w:val="TableParagraph"/>
              <w:widowControl/>
              <w:adjustRightInd w:val="0"/>
              <w:snapToGrid w:val="0"/>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værdi</w:t>
            </w:r>
          </w:p>
        </w:tc>
        <w:tc>
          <w:tcPr>
            <w:tcW w:w="3860" w:type="dxa"/>
            <w:gridSpan w:val="2"/>
            <w:tcBorders>
              <w:top w:val="single" w:sz="4" w:space="0" w:color="auto"/>
            </w:tcBorders>
          </w:tcPr>
          <w:p w14:paraId="50338943"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0,81 (0,53; 1,23)</w:t>
            </w:r>
          </w:p>
          <w:p w14:paraId="6425BF81" w14:textId="77777777" w:rsidR="000E0402" w:rsidRPr="001278B6" w:rsidRDefault="000E0402" w:rsidP="001278B6">
            <w:pPr>
              <w:pStyle w:val="TableParagraph"/>
              <w:widowControl/>
              <w:adjustRightInd w:val="0"/>
              <w:snapToGrid w:val="0"/>
              <w:jc w:val="center"/>
              <w:rPr>
                <w:snapToGrid w:val="0"/>
                <w:sz w:val="20"/>
                <w:lang w:val="da-DK"/>
              </w:rPr>
            </w:pPr>
            <w:r w:rsidRPr="001278B6">
              <w:rPr>
                <w:snapToGrid w:val="0"/>
                <w:sz w:val="20"/>
                <w:lang w:val="da-DK"/>
              </w:rPr>
              <w:t>0,3267</w:t>
            </w:r>
          </w:p>
        </w:tc>
      </w:tr>
    </w:tbl>
    <w:p w14:paraId="42969B69"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 I alt blev 154 patienter (ECOG</w:t>
      </w:r>
      <w:r w:rsidR="004B3750">
        <w:rPr>
          <w:snapToGrid w:val="0"/>
          <w:sz w:val="18"/>
          <w:szCs w:val="18"/>
          <w:lang w:val="da-DK"/>
        </w:rPr>
        <w:noBreakHyphen/>
      </w:r>
      <w:r w:rsidRPr="001278B6">
        <w:rPr>
          <w:snapToGrid w:val="0"/>
          <w:sz w:val="18"/>
          <w:szCs w:val="18"/>
          <w:lang w:val="da-DK"/>
        </w:rPr>
        <w:t>performancestatus 0 eller 1) randomiseret. To af de randomiserede patienter forlod i studiet før de fik studiemedicin</w:t>
      </w:r>
    </w:p>
    <w:p w14:paraId="26D4D5ED" w14:textId="77777777" w:rsidR="003563EF" w:rsidRPr="003C63FB" w:rsidRDefault="00473235" w:rsidP="001278B6">
      <w:pPr>
        <w:widowControl/>
        <w:adjustRightInd w:val="0"/>
        <w:snapToGrid w:val="0"/>
        <w:rPr>
          <w:snapToGrid w:val="0"/>
          <w:sz w:val="18"/>
          <w:szCs w:val="18"/>
          <w:lang w:val="nb-NO"/>
        </w:rPr>
      </w:pPr>
      <w:r w:rsidRPr="003C63FB">
        <w:rPr>
          <w:snapToGrid w:val="0"/>
          <w:sz w:val="18"/>
          <w:szCs w:val="18"/>
          <w:lang w:val="nb-NO"/>
        </w:rPr>
        <w:t>^ Blindet uafhængig vurdering (protokol</w:t>
      </w:r>
      <w:r w:rsidR="004B3750" w:rsidRPr="003C63FB">
        <w:rPr>
          <w:snapToGrid w:val="0"/>
          <w:sz w:val="18"/>
          <w:szCs w:val="18"/>
          <w:lang w:val="nb-NO"/>
        </w:rPr>
        <w:noBreakHyphen/>
      </w:r>
      <w:r w:rsidRPr="003C63FB">
        <w:rPr>
          <w:snapToGrid w:val="0"/>
          <w:sz w:val="18"/>
          <w:szCs w:val="18"/>
          <w:lang w:val="nb-NO"/>
        </w:rPr>
        <w:t>defineret primær analyse).</w:t>
      </w:r>
    </w:p>
    <w:p w14:paraId="4E1FA336" w14:textId="77777777" w:rsidR="003563EF" w:rsidRPr="001278B6" w:rsidRDefault="003B6635" w:rsidP="001278B6">
      <w:pPr>
        <w:pStyle w:val="a4"/>
        <w:widowControl/>
        <w:adjustRightInd w:val="0"/>
        <w:snapToGrid w:val="0"/>
        <w:ind w:left="0" w:firstLine="0"/>
        <w:rPr>
          <w:snapToGrid w:val="0"/>
          <w:sz w:val="18"/>
          <w:szCs w:val="18"/>
          <w:lang w:val="da-DK"/>
        </w:rPr>
      </w:pPr>
      <w:r w:rsidRPr="001278B6">
        <w:rPr>
          <w:snapToGrid w:val="0"/>
          <w:sz w:val="18"/>
          <w:szCs w:val="18"/>
          <w:lang w:val="da-DK"/>
        </w:rPr>
        <w:t>*</w:t>
      </w:r>
      <w:r w:rsidR="006D1DD9">
        <w:rPr>
          <w:snapToGrid w:val="0"/>
          <w:sz w:val="18"/>
          <w:szCs w:val="18"/>
          <w:lang w:val="da-DK"/>
        </w:rPr>
        <w:t xml:space="preserve"> </w:t>
      </w:r>
      <w:r w:rsidR="00473235" w:rsidRPr="001278B6">
        <w:rPr>
          <w:snapToGrid w:val="0"/>
          <w:sz w:val="18"/>
          <w:szCs w:val="18"/>
          <w:lang w:val="da-DK"/>
        </w:rPr>
        <w:t xml:space="preserve">Eksploratorisk analyse: endelig analyse af samlet overlevelse på klinisk </w:t>
      </w:r>
      <w:r w:rsidR="00473235" w:rsidRPr="001278B6">
        <w:rPr>
          <w:i/>
          <w:snapToGrid w:val="0"/>
          <w:sz w:val="18"/>
          <w:szCs w:val="18"/>
          <w:lang w:val="da-DK"/>
        </w:rPr>
        <w:t>cut</w:t>
      </w:r>
      <w:r w:rsidR="004B3750">
        <w:rPr>
          <w:i/>
          <w:snapToGrid w:val="0"/>
          <w:sz w:val="18"/>
          <w:szCs w:val="18"/>
          <w:lang w:val="da-DK"/>
        </w:rPr>
        <w:noBreakHyphen/>
      </w:r>
      <w:r w:rsidR="00473235" w:rsidRPr="001278B6">
        <w:rPr>
          <w:i/>
          <w:snapToGrid w:val="0"/>
          <w:sz w:val="18"/>
          <w:szCs w:val="18"/>
          <w:lang w:val="da-DK"/>
        </w:rPr>
        <w:t xml:space="preserve">off </w:t>
      </w:r>
      <w:r w:rsidR="00473235" w:rsidRPr="001278B6">
        <w:rPr>
          <w:snapToGrid w:val="0"/>
          <w:sz w:val="18"/>
          <w:szCs w:val="18"/>
          <w:lang w:val="da-DK"/>
        </w:rPr>
        <w:t>31. oktober 2017, hvor ca.</w:t>
      </w:r>
      <w:r w:rsidR="006D1DD9">
        <w:rPr>
          <w:snapToGrid w:val="0"/>
          <w:sz w:val="18"/>
          <w:szCs w:val="18"/>
          <w:lang w:val="da-DK"/>
        </w:rPr>
        <w:t xml:space="preserve"> </w:t>
      </w:r>
      <w:r w:rsidR="00473235" w:rsidRPr="001278B6">
        <w:rPr>
          <w:snapToGrid w:val="0"/>
          <w:sz w:val="18"/>
          <w:szCs w:val="18"/>
          <w:lang w:val="da-DK"/>
        </w:rPr>
        <w:t>59 % af patienterne var døde.</w:t>
      </w:r>
    </w:p>
    <w:p w14:paraId="2EC53EB6"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 xml:space="preserve">HR, </w:t>
      </w:r>
      <w:r w:rsidRPr="001278B6">
        <w:rPr>
          <w:i/>
          <w:snapToGrid w:val="0"/>
          <w:sz w:val="18"/>
          <w:szCs w:val="18"/>
          <w:lang w:val="da-DK"/>
        </w:rPr>
        <w:t xml:space="preserve">Hazardratio </w:t>
      </w:r>
      <w:r w:rsidRPr="001278B6">
        <w:rPr>
          <w:snapToGrid w:val="0"/>
          <w:sz w:val="18"/>
          <w:szCs w:val="18"/>
          <w:lang w:val="da-DK"/>
        </w:rPr>
        <w:t>fra ikke</w:t>
      </w:r>
      <w:r w:rsidR="004B3750">
        <w:rPr>
          <w:snapToGrid w:val="0"/>
          <w:sz w:val="18"/>
          <w:szCs w:val="18"/>
          <w:lang w:val="da-DK"/>
        </w:rPr>
        <w:noBreakHyphen/>
      </w:r>
      <w:r w:rsidRPr="001278B6">
        <w:rPr>
          <w:snapToGrid w:val="0"/>
          <w:sz w:val="18"/>
          <w:szCs w:val="18"/>
          <w:lang w:val="da-DK"/>
        </w:rPr>
        <w:t>stratificeret Cox regression analyse; NR, ikke opnået.</w:t>
      </w:r>
    </w:p>
    <w:p w14:paraId="60039BC4" w14:textId="77777777" w:rsidR="003563EF" w:rsidRPr="001278B6" w:rsidRDefault="003563EF" w:rsidP="001278B6">
      <w:pPr>
        <w:pStyle w:val="a3"/>
        <w:widowControl/>
        <w:adjustRightInd w:val="0"/>
        <w:snapToGrid w:val="0"/>
        <w:rPr>
          <w:snapToGrid w:val="0"/>
          <w:lang w:val="da-DK"/>
        </w:rPr>
      </w:pPr>
    </w:p>
    <w:p w14:paraId="057B8B45" w14:textId="77777777" w:rsidR="003563EF" w:rsidRPr="003C63FB" w:rsidRDefault="00473235" w:rsidP="001278B6">
      <w:pPr>
        <w:keepNext/>
        <w:keepLines/>
        <w:widowControl/>
        <w:adjustRightInd w:val="0"/>
        <w:snapToGrid w:val="0"/>
        <w:rPr>
          <w:i/>
          <w:snapToGrid w:val="0"/>
          <w:lang w:val="nb-NO"/>
        </w:rPr>
      </w:pPr>
      <w:r w:rsidRPr="003C63FB">
        <w:rPr>
          <w:i/>
          <w:snapToGrid w:val="0"/>
          <w:u w:val="single"/>
          <w:lang w:val="nb-NO"/>
        </w:rPr>
        <w:t>Fremskreden og/eller metastatisk renalcellekarcinom (mRCC)</w:t>
      </w:r>
    </w:p>
    <w:p w14:paraId="6F9A7A1B" w14:textId="77777777" w:rsidR="003563EF" w:rsidRPr="003C63FB" w:rsidRDefault="003563EF" w:rsidP="001278B6">
      <w:pPr>
        <w:pStyle w:val="a3"/>
        <w:keepNext/>
        <w:keepLines/>
        <w:widowControl/>
        <w:adjustRightInd w:val="0"/>
        <w:snapToGrid w:val="0"/>
        <w:rPr>
          <w:i/>
          <w:snapToGrid w:val="0"/>
          <w:lang w:val="nb-NO"/>
        </w:rPr>
      </w:pPr>
    </w:p>
    <w:p w14:paraId="144B45D0" w14:textId="0C505DF5" w:rsidR="003563EF" w:rsidRPr="001278B6" w:rsidRDefault="00F90981" w:rsidP="001278B6">
      <w:pPr>
        <w:keepNext/>
        <w:keepLines/>
        <w:widowControl/>
        <w:adjustRightInd w:val="0"/>
        <w:snapToGrid w:val="0"/>
        <w:rPr>
          <w:i/>
          <w:snapToGrid w:val="0"/>
          <w:lang w:val="da-DK"/>
        </w:rPr>
      </w:pPr>
      <w:r>
        <w:rPr>
          <w:i/>
          <w:snapToGrid w:val="0"/>
          <w:lang w:val="da-DK"/>
        </w:rPr>
        <w:t>Bevacizumab</w:t>
      </w:r>
      <w:r w:rsidR="00473235" w:rsidRPr="001278B6">
        <w:rPr>
          <w:i/>
          <w:snapToGrid w:val="0"/>
          <w:lang w:val="da-DK"/>
        </w:rPr>
        <w:t xml:space="preserve"> i kombination med interferon alfa</w:t>
      </w:r>
      <w:r w:rsidR="004B3750">
        <w:rPr>
          <w:i/>
          <w:snapToGrid w:val="0"/>
          <w:lang w:val="da-DK"/>
        </w:rPr>
        <w:noBreakHyphen/>
      </w:r>
      <w:r w:rsidR="00473235" w:rsidRPr="001278B6">
        <w:rPr>
          <w:i/>
          <w:snapToGrid w:val="0"/>
          <w:lang w:val="da-DK"/>
        </w:rPr>
        <w:t>2a til 1.</w:t>
      </w:r>
      <w:r w:rsidR="004B3750">
        <w:rPr>
          <w:i/>
          <w:snapToGrid w:val="0"/>
          <w:lang w:val="da-DK"/>
        </w:rPr>
        <w:noBreakHyphen/>
      </w:r>
      <w:r w:rsidR="00473235" w:rsidRPr="001278B6">
        <w:rPr>
          <w:i/>
          <w:snapToGrid w:val="0"/>
          <w:lang w:val="da-DK"/>
        </w:rPr>
        <w:t xml:space="preserve">linjebehandling af patienter med fremskreden og/eller </w:t>
      </w:r>
      <w:r w:rsidR="003A616F">
        <w:rPr>
          <w:i/>
          <w:snapToGrid w:val="0"/>
          <w:lang w:val="da-DK"/>
        </w:rPr>
        <w:t xml:space="preserve">mRCC </w:t>
      </w:r>
      <w:r w:rsidR="00473235" w:rsidRPr="001278B6">
        <w:rPr>
          <w:i/>
          <w:snapToGrid w:val="0"/>
          <w:lang w:val="da-DK"/>
        </w:rPr>
        <w:t>(BO17705)</w:t>
      </w:r>
    </w:p>
    <w:p w14:paraId="26C1F489" w14:textId="77777777" w:rsidR="003563EF" w:rsidRPr="001278B6" w:rsidRDefault="003563EF" w:rsidP="001278B6">
      <w:pPr>
        <w:pStyle w:val="a3"/>
        <w:keepNext/>
        <w:keepLines/>
        <w:widowControl/>
        <w:adjustRightInd w:val="0"/>
        <w:snapToGrid w:val="0"/>
        <w:rPr>
          <w:i/>
          <w:snapToGrid w:val="0"/>
          <w:lang w:val="da-DK"/>
        </w:rPr>
      </w:pPr>
    </w:p>
    <w:p w14:paraId="79CEF98B"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Dette var et fase III, randomiseret, dobbeltblindet studie, der blev udført for at undersøge effekt og sikkerhed ved </w:t>
      </w:r>
      <w:r w:rsidR="00F90981">
        <w:rPr>
          <w:snapToGrid w:val="0"/>
          <w:lang w:val="da-DK"/>
        </w:rPr>
        <w:t>bevacizumab</w:t>
      </w:r>
      <w:r w:rsidRPr="001278B6">
        <w:rPr>
          <w:snapToGrid w:val="0"/>
          <w:lang w:val="da-DK"/>
        </w:rPr>
        <w:t xml:space="preserve"> i kombination med interferon (IFN) alfa</w:t>
      </w:r>
      <w:r w:rsidR="004B3750">
        <w:rPr>
          <w:snapToGrid w:val="0"/>
          <w:lang w:val="da-DK"/>
        </w:rPr>
        <w:noBreakHyphen/>
      </w:r>
      <w:r w:rsidRPr="001278B6">
        <w:rPr>
          <w:snapToGrid w:val="0"/>
          <w:lang w:val="da-DK"/>
        </w:rPr>
        <w:t xml:space="preserve">2a </w:t>
      </w:r>
      <w:r w:rsidRPr="001278B6">
        <w:rPr>
          <w:i/>
          <w:snapToGrid w:val="0"/>
          <w:lang w:val="da-DK"/>
        </w:rPr>
        <w:t xml:space="preserve">vs </w:t>
      </w:r>
      <w:r w:rsidRPr="001278B6">
        <w:rPr>
          <w:snapToGrid w:val="0"/>
          <w:lang w:val="da-DK"/>
        </w:rPr>
        <w:t>IFN alfa</w:t>
      </w:r>
      <w:r w:rsidR="004B3750">
        <w:rPr>
          <w:snapToGrid w:val="0"/>
          <w:lang w:val="da-DK"/>
        </w:rPr>
        <w:noBreakHyphen/>
      </w:r>
      <w:r w:rsidRPr="001278B6">
        <w:rPr>
          <w:snapToGrid w:val="0"/>
          <w:lang w:val="da-DK"/>
        </w:rPr>
        <w:t>2a alene som 1.</w:t>
      </w:r>
      <w:r w:rsidR="004B3750">
        <w:rPr>
          <w:snapToGrid w:val="0"/>
          <w:lang w:val="da-DK"/>
        </w:rPr>
        <w:noBreakHyphen/>
      </w:r>
      <w:r w:rsidRPr="001278B6">
        <w:rPr>
          <w:snapToGrid w:val="0"/>
          <w:lang w:val="da-DK"/>
        </w:rPr>
        <w:t>linjebehandling af mRCC. De 649 randomiserede patienter (641 behandlede) havde Karnofsky performancestatus (KPS) på ≥ 70 %, ingen CNS</w:t>
      </w:r>
      <w:r w:rsidR="004B3750">
        <w:rPr>
          <w:snapToGrid w:val="0"/>
          <w:lang w:val="da-DK"/>
        </w:rPr>
        <w:noBreakHyphen/>
      </w:r>
      <w:r w:rsidRPr="001278B6">
        <w:rPr>
          <w:snapToGrid w:val="0"/>
          <w:lang w:val="da-DK"/>
        </w:rPr>
        <w:t>metastaser og tilstrækkelig organfunktion.</w:t>
      </w:r>
    </w:p>
    <w:p w14:paraId="1448382B"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Patienterne blev nefrektomeret grundet primær renalcellekarcinom. Der blev givet </w:t>
      </w:r>
      <w:r w:rsidR="00F90981">
        <w:rPr>
          <w:snapToGrid w:val="0"/>
          <w:lang w:val="da-DK"/>
        </w:rPr>
        <w:t>bevacizumab</w:t>
      </w:r>
      <w:r w:rsidRPr="001278B6">
        <w:rPr>
          <w:snapToGrid w:val="0"/>
          <w:lang w:val="da-DK"/>
        </w:rPr>
        <w:t xml:space="preserve"> 10</w:t>
      </w:r>
      <w:r w:rsidR="00020293">
        <w:rPr>
          <w:snapToGrid w:val="0"/>
          <w:lang w:val="da-DK"/>
        </w:rPr>
        <w:t> </w:t>
      </w:r>
      <w:r w:rsidRPr="001278B6">
        <w:rPr>
          <w:snapToGrid w:val="0"/>
          <w:lang w:val="da-DK"/>
        </w:rPr>
        <w:t>mg/kg hver 2. uge indtil sygdomsprogession. IFN alfa</w:t>
      </w:r>
      <w:r w:rsidR="004B3750">
        <w:rPr>
          <w:snapToGrid w:val="0"/>
          <w:lang w:val="da-DK"/>
        </w:rPr>
        <w:noBreakHyphen/>
      </w:r>
      <w:r w:rsidRPr="001278B6">
        <w:rPr>
          <w:snapToGrid w:val="0"/>
          <w:lang w:val="da-DK"/>
        </w:rPr>
        <w:t>2a blev givet i op til 52 uger eller indtil sygdomsprogression startende med den anbefalede initialdosis på 9 MIE tre gange ugentligt. Denne dosis kunne reduceres til 3 MIE tre gange ugentligt ad to omgange. Patienterne blev stratificeret i forhold til land og Motzer</w:t>
      </w:r>
      <w:r w:rsidR="004B3750">
        <w:rPr>
          <w:snapToGrid w:val="0"/>
          <w:lang w:val="da-DK"/>
        </w:rPr>
        <w:noBreakHyphen/>
      </w:r>
      <w:r w:rsidRPr="001278B6">
        <w:rPr>
          <w:snapToGrid w:val="0"/>
          <w:lang w:val="da-DK"/>
        </w:rPr>
        <w:t>score, og behandlingsarmene blev vist at være velafbalancerede i forhold til prognostiske faktorer.</w:t>
      </w:r>
    </w:p>
    <w:p w14:paraId="319F880A" w14:textId="77777777" w:rsidR="003563EF" w:rsidRPr="001278B6" w:rsidRDefault="003563EF" w:rsidP="001278B6">
      <w:pPr>
        <w:pStyle w:val="a3"/>
        <w:widowControl/>
        <w:adjustRightInd w:val="0"/>
        <w:snapToGrid w:val="0"/>
        <w:rPr>
          <w:snapToGrid w:val="0"/>
          <w:lang w:val="da-DK"/>
        </w:rPr>
      </w:pPr>
    </w:p>
    <w:p w14:paraId="5032A6DF" w14:textId="206C88AE" w:rsidR="003563EF" w:rsidRPr="001278B6" w:rsidRDefault="00473235" w:rsidP="001278B6">
      <w:pPr>
        <w:pStyle w:val="a3"/>
        <w:widowControl/>
        <w:adjustRightInd w:val="0"/>
        <w:snapToGrid w:val="0"/>
        <w:rPr>
          <w:snapToGrid w:val="0"/>
          <w:lang w:val="da-DK"/>
        </w:rPr>
      </w:pPr>
      <w:r w:rsidRPr="001278B6">
        <w:rPr>
          <w:snapToGrid w:val="0"/>
          <w:lang w:val="da-DK"/>
        </w:rPr>
        <w:t xml:space="preserve">Det primære endepunkt for studiet var </w:t>
      </w:r>
      <w:r w:rsidR="009479F3">
        <w:rPr>
          <w:snapToGrid w:val="0"/>
          <w:lang w:val="da-DK"/>
        </w:rPr>
        <w:t>OS</w:t>
      </w:r>
      <w:r w:rsidRPr="001278B6">
        <w:rPr>
          <w:snapToGrid w:val="0"/>
          <w:lang w:val="da-DK"/>
        </w:rPr>
        <w:t xml:space="preserve">, og de sekundære endepunkter var bl.a. </w:t>
      </w:r>
      <w:r w:rsidR="009479F3">
        <w:rPr>
          <w:snapToGrid w:val="0"/>
          <w:lang w:val="da-DK"/>
        </w:rPr>
        <w:t>PFS</w:t>
      </w:r>
      <w:r w:rsidRPr="001278B6">
        <w:rPr>
          <w:snapToGrid w:val="0"/>
          <w:lang w:val="da-DK"/>
        </w:rPr>
        <w:t xml:space="preserve">. </w:t>
      </w:r>
      <w:r w:rsidR="00933451">
        <w:rPr>
          <w:snapToGrid w:val="0"/>
          <w:lang w:val="da-DK"/>
        </w:rPr>
        <w:t>PFS</w:t>
      </w:r>
      <w:r w:rsidRPr="001278B6">
        <w:rPr>
          <w:snapToGrid w:val="0"/>
          <w:lang w:val="da-DK"/>
        </w:rPr>
        <w:t xml:space="preserve"> og den objektive tumorresponsrate forøgedes signifikant ved tillæg af </w:t>
      </w:r>
      <w:r w:rsidR="00F90981">
        <w:rPr>
          <w:snapToGrid w:val="0"/>
          <w:lang w:val="da-DK"/>
        </w:rPr>
        <w:t>bevacizumab</w:t>
      </w:r>
      <w:r w:rsidRPr="001278B6">
        <w:rPr>
          <w:snapToGrid w:val="0"/>
          <w:lang w:val="da-DK"/>
        </w:rPr>
        <w:t xml:space="preserve"> til IFN alfa</w:t>
      </w:r>
      <w:r w:rsidR="004B3750">
        <w:rPr>
          <w:snapToGrid w:val="0"/>
          <w:lang w:val="da-DK"/>
        </w:rPr>
        <w:noBreakHyphen/>
      </w:r>
      <w:r w:rsidRPr="001278B6">
        <w:rPr>
          <w:snapToGrid w:val="0"/>
          <w:lang w:val="da-DK"/>
        </w:rPr>
        <w:t xml:space="preserve">2a behandlingen. Disse resultater er blevet bekræftet ved en uafhængig radiologisk vurdering. Stigningen i det primære endepunkt, </w:t>
      </w:r>
      <w:r w:rsidR="00933451">
        <w:rPr>
          <w:snapToGrid w:val="0"/>
          <w:lang w:val="da-DK"/>
        </w:rPr>
        <w:t>OS</w:t>
      </w:r>
      <w:r w:rsidRPr="001278B6">
        <w:rPr>
          <w:snapToGrid w:val="0"/>
          <w:lang w:val="da-DK"/>
        </w:rPr>
        <w:t xml:space="preserve"> på 2 måneder, var ikke signifikant (HR = 0,91). En stor del af patienterne (ca. 63 % IFN/placebo; 55 % </w:t>
      </w:r>
      <w:r w:rsidR="00F90981">
        <w:rPr>
          <w:snapToGrid w:val="0"/>
          <w:lang w:val="da-DK"/>
        </w:rPr>
        <w:t>bevacizumab</w:t>
      </w:r>
      <w:r w:rsidRPr="001278B6">
        <w:rPr>
          <w:snapToGrid w:val="0"/>
          <w:lang w:val="da-DK"/>
        </w:rPr>
        <w:t>/IFN) fik forskellige ikke</w:t>
      </w:r>
      <w:r w:rsidR="004B3750">
        <w:rPr>
          <w:snapToGrid w:val="0"/>
          <w:lang w:val="da-DK"/>
        </w:rPr>
        <w:noBreakHyphen/>
      </w:r>
      <w:r w:rsidRPr="001278B6">
        <w:rPr>
          <w:snapToGrid w:val="0"/>
          <w:lang w:val="da-DK"/>
        </w:rPr>
        <w:t xml:space="preserve">specificerede cancerbehandlinger efter studiets ophør, inklusive antineoplastiske lægemidler, som kan have haft indvirkning på analysen af </w:t>
      </w:r>
      <w:r w:rsidR="00933451">
        <w:rPr>
          <w:snapToGrid w:val="0"/>
          <w:lang w:val="da-DK"/>
        </w:rPr>
        <w:t>OS</w:t>
      </w:r>
      <w:r w:rsidRPr="001278B6">
        <w:rPr>
          <w:snapToGrid w:val="0"/>
          <w:lang w:val="da-DK"/>
        </w:rPr>
        <w:t>.</w:t>
      </w:r>
    </w:p>
    <w:p w14:paraId="42389E8A" w14:textId="77777777" w:rsidR="0079124A" w:rsidRPr="001278B6" w:rsidRDefault="0079124A" w:rsidP="001278B6">
      <w:pPr>
        <w:widowControl/>
        <w:adjustRightInd w:val="0"/>
        <w:snapToGrid w:val="0"/>
        <w:rPr>
          <w:snapToGrid w:val="0"/>
          <w:lang w:val="da-DK"/>
        </w:rPr>
      </w:pPr>
    </w:p>
    <w:p w14:paraId="1126F2B2" w14:textId="77777777" w:rsidR="003563EF" w:rsidRPr="001278B6" w:rsidRDefault="00473235" w:rsidP="001278B6">
      <w:pPr>
        <w:pStyle w:val="a3"/>
        <w:widowControl/>
        <w:adjustRightInd w:val="0"/>
        <w:snapToGrid w:val="0"/>
        <w:rPr>
          <w:snapToGrid w:val="0"/>
          <w:lang w:val="da-DK"/>
        </w:rPr>
      </w:pPr>
      <w:r w:rsidRPr="001278B6">
        <w:rPr>
          <w:snapToGrid w:val="0"/>
          <w:lang w:val="da-DK"/>
        </w:rPr>
        <w:t>Effektresultater er præsenteret i tabel 15.</w:t>
      </w:r>
    </w:p>
    <w:p w14:paraId="1E3952FC" w14:textId="77777777" w:rsidR="003563EF" w:rsidRPr="001278B6" w:rsidRDefault="003563EF" w:rsidP="001278B6">
      <w:pPr>
        <w:pStyle w:val="a3"/>
        <w:widowControl/>
        <w:adjustRightInd w:val="0"/>
        <w:snapToGrid w:val="0"/>
        <w:rPr>
          <w:snapToGrid w:val="0"/>
          <w:lang w:val="da-DK"/>
        </w:rPr>
      </w:pPr>
    </w:p>
    <w:p w14:paraId="1831497E" w14:textId="77777777" w:rsidR="003563EF" w:rsidRPr="007F7673" w:rsidRDefault="00AD71D9" w:rsidP="007F7673">
      <w:pPr>
        <w:ind w:left="1134" w:hanging="1134"/>
        <w:rPr>
          <w:b/>
          <w:bCs/>
          <w:snapToGrid w:val="0"/>
          <w:lang w:val="da-DK"/>
        </w:rPr>
      </w:pPr>
      <w:r>
        <w:rPr>
          <w:snapToGrid w:val="0"/>
          <w:lang w:val="da-DK"/>
        </w:rPr>
        <w:br w:type="page"/>
      </w:r>
      <w:r w:rsidR="00473235" w:rsidRPr="007F7673">
        <w:rPr>
          <w:b/>
          <w:bCs/>
          <w:snapToGrid w:val="0"/>
          <w:lang w:val="da-DK"/>
        </w:rPr>
        <w:lastRenderedPageBreak/>
        <w:t>Tabel 15.</w:t>
      </w:r>
      <w:r w:rsidR="00473235" w:rsidRPr="007F7673">
        <w:rPr>
          <w:b/>
          <w:bCs/>
          <w:snapToGrid w:val="0"/>
          <w:lang w:val="da-DK"/>
        </w:rPr>
        <w:tab/>
        <w:t>Effektresultater fra studie BO17705</w:t>
      </w:r>
    </w:p>
    <w:p w14:paraId="35DD263D"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9"/>
        <w:gridCol w:w="2638"/>
        <w:gridCol w:w="2339"/>
      </w:tblGrid>
      <w:tr w:rsidR="003563EF" w:rsidRPr="005476B6" w14:paraId="5272DF4B" w14:textId="77777777" w:rsidTr="007A1402">
        <w:trPr>
          <w:tblHeader/>
        </w:trPr>
        <w:tc>
          <w:tcPr>
            <w:tcW w:w="4196" w:type="dxa"/>
            <w:vMerge w:val="restart"/>
          </w:tcPr>
          <w:p w14:paraId="0010C63C" w14:textId="77777777" w:rsidR="003563EF" w:rsidRPr="001278B6" w:rsidRDefault="003563EF" w:rsidP="001278B6">
            <w:pPr>
              <w:pStyle w:val="TableParagraph"/>
              <w:keepNext/>
              <w:keepLines/>
              <w:widowControl/>
              <w:adjustRightInd w:val="0"/>
              <w:snapToGrid w:val="0"/>
              <w:rPr>
                <w:snapToGrid w:val="0"/>
                <w:sz w:val="20"/>
                <w:lang w:val="da-DK"/>
              </w:rPr>
            </w:pPr>
          </w:p>
        </w:tc>
        <w:tc>
          <w:tcPr>
            <w:tcW w:w="5096" w:type="dxa"/>
            <w:gridSpan w:val="2"/>
          </w:tcPr>
          <w:p w14:paraId="1E9197A2"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u w:val="single"/>
                <w:lang w:val="da-DK"/>
              </w:rPr>
              <w:t>BO17705</w:t>
            </w:r>
          </w:p>
        </w:tc>
      </w:tr>
      <w:tr w:rsidR="003563EF" w:rsidRPr="005476B6" w14:paraId="223A2D55" w14:textId="77777777" w:rsidTr="001278B6">
        <w:tc>
          <w:tcPr>
            <w:tcW w:w="4196" w:type="dxa"/>
            <w:vMerge/>
          </w:tcPr>
          <w:p w14:paraId="1BED25A0" w14:textId="77777777" w:rsidR="003563EF" w:rsidRPr="001278B6" w:rsidRDefault="003563EF" w:rsidP="001278B6">
            <w:pPr>
              <w:keepNext/>
              <w:keepLines/>
              <w:widowControl/>
              <w:adjustRightInd w:val="0"/>
              <w:snapToGrid w:val="0"/>
              <w:rPr>
                <w:snapToGrid w:val="0"/>
                <w:sz w:val="20"/>
                <w:szCs w:val="2"/>
                <w:lang w:val="da-DK"/>
              </w:rPr>
            </w:pPr>
          </w:p>
        </w:tc>
        <w:tc>
          <w:tcPr>
            <w:tcW w:w="2695" w:type="dxa"/>
          </w:tcPr>
          <w:p w14:paraId="73C93BBF"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Placebo + IFN</w:t>
            </w:r>
            <w:r w:rsidRPr="001278B6">
              <w:rPr>
                <w:b/>
                <w:bCs/>
                <w:snapToGrid w:val="0"/>
                <w:sz w:val="20"/>
                <w:vertAlign w:val="superscript"/>
                <w:lang w:val="da-DK"/>
              </w:rPr>
              <w:t>a</w:t>
            </w:r>
          </w:p>
        </w:tc>
        <w:tc>
          <w:tcPr>
            <w:tcW w:w="2401" w:type="dxa"/>
          </w:tcPr>
          <w:p w14:paraId="0A05F950"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Bv</w:t>
            </w:r>
            <w:r w:rsidRPr="001278B6">
              <w:rPr>
                <w:b/>
                <w:bCs/>
                <w:snapToGrid w:val="0"/>
                <w:sz w:val="20"/>
                <w:vertAlign w:val="superscript"/>
                <w:lang w:val="da-DK"/>
              </w:rPr>
              <w:t>b</w:t>
            </w:r>
            <w:r w:rsidRPr="001278B6">
              <w:rPr>
                <w:b/>
                <w:bCs/>
                <w:snapToGrid w:val="0"/>
                <w:sz w:val="20"/>
                <w:lang w:val="da-DK"/>
              </w:rPr>
              <w:t xml:space="preserve"> + IFN</w:t>
            </w:r>
            <w:r w:rsidRPr="001278B6">
              <w:rPr>
                <w:b/>
                <w:bCs/>
                <w:snapToGrid w:val="0"/>
                <w:sz w:val="20"/>
                <w:vertAlign w:val="superscript"/>
                <w:lang w:val="da-DK"/>
              </w:rPr>
              <w:t>a</w:t>
            </w:r>
          </w:p>
        </w:tc>
      </w:tr>
      <w:tr w:rsidR="007A1402" w:rsidRPr="005476B6" w14:paraId="0E7EF8BE" w14:textId="77777777" w:rsidTr="00AE0101">
        <w:tc>
          <w:tcPr>
            <w:tcW w:w="4196" w:type="dxa"/>
          </w:tcPr>
          <w:p w14:paraId="2CE9E35B" w14:textId="77777777" w:rsidR="007A1402" w:rsidRPr="001278B6" w:rsidRDefault="007A1402" w:rsidP="001278B6">
            <w:pPr>
              <w:pStyle w:val="TableParagraph"/>
              <w:keepNext/>
              <w:keepLines/>
              <w:widowControl/>
              <w:adjustRightInd w:val="0"/>
              <w:snapToGrid w:val="0"/>
              <w:rPr>
                <w:snapToGrid w:val="0"/>
                <w:sz w:val="20"/>
                <w:lang w:val="da-DK"/>
              </w:rPr>
            </w:pPr>
            <w:r w:rsidRPr="001278B6">
              <w:rPr>
                <w:snapToGrid w:val="0"/>
                <w:sz w:val="20"/>
                <w:lang w:val="da-DK"/>
              </w:rPr>
              <w:t>Antal patienter</w:t>
            </w:r>
          </w:p>
        </w:tc>
        <w:tc>
          <w:tcPr>
            <w:tcW w:w="2695" w:type="dxa"/>
            <w:tcBorders>
              <w:bottom w:val="single" w:sz="4" w:space="0" w:color="auto"/>
            </w:tcBorders>
          </w:tcPr>
          <w:p w14:paraId="23C3ECDB" w14:textId="77777777" w:rsidR="007A1402" w:rsidRPr="001278B6" w:rsidRDefault="007A1402" w:rsidP="001278B6">
            <w:pPr>
              <w:pStyle w:val="TableParagraph"/>
              <w:keepNext/>
              <w:keepLines/>
              <w:widowControl/>
              <w:adjustRightInd w:val="0"/>
              <w:snapToGrid w:val="0"/>
              <w:jc w:val="center"/>
              <w:rPr>
                <w:snapToGrid w:val="0"/>
                <w:sz w:val="20"/>
                <w:lang w:val="da-DK"/>
              </w:rPr>
            </w:pPr>
            <w:r w:rsidRPr="001278B6">
              <w:rPr>
                <w:snapToGrid w:val="0"/>
                <w:sz w:val="20"/>
                <w:lang w:val="da-DK"/>
              </w:rPr>
              <w:t>322</w:t>
            </w:r>
          </w:p>
        </w:tc>
        <w:tc>
          <w:tcPr>
            <w:tcW w:w="2401" w:type="dxa"/>
            <w:tcBorders>
              <w:bottom w:val="single" w:sz="4" w:space="0" w:color="auto"/>
            </w:tcBorders>
          </w:tcPr>
          <w:p w14:paraId="2E625C62" w14:textId="77777777" w:rsidR="007A1402" w:rsidRPr="001278B6" w:rsidRDefault="007A1402" w:rsidP="001278B6">
            <w:pPr>
              <w:pStyle w:val="TableParagraph"/>
              <w:keepNext/>
              <w:keepLines/>
              <w:widowControl/>
              <w:adjustRightInd w:val="0"/>
              <w:snapToGrid w:val="0"/>
              <w:jc w:val="center"/>
              <w:rPr>
                <w:snapToGrid w:val="0"/>
                <w:sz w:val="20"/>
                <w:lang w:val="da-DK"/>
              </w:rPr>
            </w:pPr>
            <w:r w:rsidRPr="001278B6">
              <w:rPr>
                <w:snapToGrid w:val="0"/>
                <w:sz w:val="20"/>
                <w:lang w:val="da-DK"/>
              </w:rPr>
              <w:t>327</w:t>
            </w:r>
          </w:p>
        </w:tc>
      </w:tr>
      <w:tr w:rsidR="007A1402" w:rsidRPr="005476B6" w14:paraId="4DE0D2A8" w14:textId="77777777" w:rsidTr="00AE0101">
        <w:trPr>
          <w:trHeight w:val="470"/>
        </w:trPr>
        <w:tc>
          <w:tcPr>
            <w:tcW w:w="4196" w:type="dxa"/>
            <w:vMerge w:val="restart"/>
          </w:tcPr>
          <w:p w14:paraId="38193C08" w14:textId="77777777" w:rsidR="007A1402" w:rsidRPr="001278B6" w:rsidRDefault="007A1402" w:rsidP="001278B6">
            <w:pPr>
              <w:pStyle w:val="TableParagraph"/>
              <w:widowControl/>
              <w:adjustRightInd w:val="0"/>
              <w:snapToGrid w:val="0"/>
              <w:rPr>
                <w:snapToGrid w:val="0"/>
                <w:sz w:val="20"/>
                <w:lang w:val="da-DK"/>
              </w:rPr>
            </w:pPr>
            <w:r w:rsidRPr="001278B6">
              <w:rPr>
                <w:snapToGrid w:val="0"/>
                <w:sz w:val="20"/>
                <w:lang w:val="da-DK"/>
              </w:rPr>
              <w:t>Progressionsfri overlevelse</w:t>
            </w:r>
          </w:p>
          <w:p w14:paraId="3B20E2C9" w14:textId="77777777" w:rsidR="007A1402" w:rsidRPr="001278B6" w:rsidRDefault="007A1402" w:rsidP="001278B6">
            <w:pPr>
              <w:pStyle w:val="TableParagraph"/>
              <w:widowControl/>
              <w:adjustRightInd w:val="0"/>
              <w:snapToGrid w:val="0"/>
              <w:ind w:left="180"/>
              <w:rPr>
                <w:snapToGrid w:val="0"/>
                <w:sz w:val="20"/>
                <w:lang w:val="da-DK"/>
              </w:rPr>
            </w:pPr>
            <w:r w:rsidRPr="001278B6">
              <w:rPr>
                <w:snapToGrid w:val="0"/>
                <w:sz w:val="20"/>
                <w:lang w:val="da-DK"/>
              </w:rPr>
              <w:t>Median (måneder)</w:t>
            </w:r>
          </w:p>
          <w:p w14:paraId="77A917BA" w14:textId="77777777" w:rsidR="00F90981" w:rsidRDefault="00F90981" w:rsidP="001278B6">
            <w:pPr>
              <w:pStyle w:val="TableParagraph"/>
              <w:widowControl/>
              <w:adjustRightInd w:val="0"/>
              <w:snapToGrid w:val="0"/>
              <w:ind w:left="180"/>
              <w:rPr>
                <w:i/>
                <w:snapToGrid w:val="0"/>
                <w:sz w:val="20"/>
                <w:lang w:val="da-DK"/>
              </w:rPr>
            </w:pPr>
          </w:p>
          <w:p w14:paraId="2D002B30" w14:textId="77777777" w:rsidR="007A1402" w:rsidRPr="00096AD4" w:rsidRDefault="007A1402" w:rsidP="001278B6">
            <w:pPr>
              <w:pStyle w:val="TableParagraph"/>
              <w:widowControl/>
              <w:adjustRightInd w:val="0"/>
              <w:snapToGrid w:val="0"/>
              <w:ind w:left="180"/>
              <w:rPr>
                <w:iCs/>
                <w:snapToGrid w:val="0"/>
                <w:sz w:val="20"/>
                <w:lang w:val="da-DK"/>
              </w:rPr>
            </w:pPr>
            <w:r w:rsidRPr="00096AD4">
              <w:rPr>
                <w:iCs/>
                <w:snapToGrid w:val="0"/>
                <w:sz w:val="20"/>
                <w:lang w:val="da-DK"/>
              </w:rPr>
              <w:t>Hazard ratio</w:t>
            </w:r>
          </w:p>
          <w:p w14:paraId="7A85AA93" w14:textId="77777777" w:rsidR="007A1402" w:rsidRPr="001278B6" w:rsidRDefault="007A1402" w:rsidP="001278B6">
            <w:pPr>
              <w:pStyle w:val="TableParagraph"/>
              <w:widowControl/>
              <w:adjustRightInd w:val="0"/>
              <w:snapToGrid w:val="0"/>
              <w:ind w:left="180"/>
              <w:rPr>
                <w:snapToGrid w:val="0"/>
                <w:sz w:val="20"/>
                <w:lang w:val="da-DK"/>
              </w:rPr>
            </w:pPr>
            <w:r w:rsidRPr="001278B6">
              <w:rPr>
                <w:snapToGrid w:val="0"/>
                <w:sz w:val="20"/>
                <w:lang w:val="da-DK"/>
              </w:rPr>
              <w:t>95 % konfidensinterval</w:t>
            </w:r>
          </w:p>
        </w:tc>
        <w:tc>
          <w:tcPr>
            <w:tcW w:w="2695" w:type="dxa"/>
            <w:tcBorders>
              <w:bottom w:val="nil"/>
              <w:right w:val="nil"/>
            </w:tcBorders>
          </w:tcPr>
          <w:p w14:paraId="74EDB6F2" w14:textId="77777777" w:rsidR="00AE0101" w:rsidRPr="001278B6" w:rsidRDefault="00AE0101" w:rsidP="001278B6">
            <w:pPr>
              <w:pStyle w:val="TableParagraph"/>
              <w:widowControl/>
              <w:adjustRightInd w:val="0"/>
              <w:snapToGrid w:val="0"/>
              <w:jc w:val="center"/>
              <w:rPr>
                <w:snapToGrid w:val="0"/>
                <w:sz w:val="20"/>
                <w:lang w:val="da-DK"/>
              </w:rPr>
            </w:pPr>
          </w:p>
          <w:p w14:paraId="5E905155" w14:textId="77777777" w:rsidR="007A1402" w:rsidRPr="001278B6" w:rsidRDefault="007A1402" w:rsidP="001278B6">
            <w:pPr>
              <w:pStyle w:val="TableParagraph"/>
              <w:widowControl/>
              <w:adjustRightInd w:val="0"/>
              <w:snapToGrid w:val="0"/>
              <w:jc w:val="center"/>
              <w:rPr>
                <w:snapToGrid w:val="0"/>
                <w:sz w:val="20"/>
                <w:lang w:val="da-DK"/>
              </w:rPr>
            </w:pPr>
            <w:r w:rsidRPr="001278B6">
              <w:rPr>
                <w:snapToGrid w:val="0"/>
                <w:sz w:val="20"/>
                <w:lang w:val="da-DK"/>
              </w:rPr>
              <w:t>5,4</w:t>
            </w:r>
          </w:p>
        </w:tc>
        <w:tc>
          <w:tcPr>
            <w:tcW w:w="2401" w:type="dxa"/>
            <w:tcBorders>
              <w:left w:val="nil"/>
              <w:bottom w:val="nil"/>
            </w:tcBorders>
          </w:tcPr>
          <w:p w14:paraId="618D079D" w14:textId="77777777" w:rsidR="00AE0101" w:rsidRPr="001278B6" w:rsidRDefault="00AE0101" w:rsidP="001278B6">
            <w:pPr>
              <w:pStyle w:val="TableParagraph"/>
              <w:widowControl/>
              <w:adjustRightInd w:val="0"/>
              <w:snapToGrid w:val="0"/>
              <w:jc w:val="center"/>
              <w:rPr>
                <w:snapToGrid w:val="0"/>
                <w:sz w:val="20"/>
                <w:lang w:val="da-DK"/>
              </w:rPr>
            </w:pPr>
          </w:p>
          <w:p w14:paraId="7A69F4CA" w14:textId="77777777" w:rsidR="007A1402" w:rsidRPr="001278B6" w:rsidRDefault="007A1402" w:rsidP="001278B6">
            <w:pPr>
              <w:pStyle w:val="TableParagraph"/>
              <w:widowControl/>
              <w:adjustRightInd w:val="0"/>
              <w:snapToGrid w:val="0"/>
              <w:jc w:val="center"/>
              <w:rPr>
                <w:snapToGrid w:val="0"/>
                <w:sz w:val="20"/>
                <w:lang w:val="da-DK"/>
              </w:rPr>
            </w:pPr>
            <w:r w:rsidRPr="001278B6">
              <w:rPr>
                <w:snapToGrid w:val="0"/>
                <w:sz w:val="20"/>
                <w:lang w:val="da-DK"/>
              </w:rPr>
              <w:t>10,2</w:t>
            </w:r>
          </w:p>
        </w:tc>
      </w:tr>
      <w:tr w:rsidR="00AE0101" w:rsidRPr="005476B6" w14:paraId="7F60B56C" w14:textId="77777777" w:rsidTr="00454F6F">
        <w:tc>
          <w:tcPr>
            <w:tcW w:w="4196" w:type="dxa"/>
            <w:vMerge/>
          </w:tcPr>
          <w:p w14:paraId="44FE58D0" w14:textId="77777777" w:rsidR="00AE0101" w:rsidRPr="001278B6" w:rsidRDefault="00AE0101" w:rsidP="001278B6">
            <w:pPr>
              <w:pStyle w:val="TableParagraph"/>
              <w:widowControl/>
              <w:adjustRightInd w:val="0"/>
              <w:snapToGrid w:val="0"/>
              <w:rPr>
                <w:snapToGrid w:val="0"/>
                <w:sz w:val="20"/>
                <w:lang w:val="da-DK"/>
              </w:rPr>
            </w:pPr>
          </w:p>
        </w:tc>
        <w:tc>
          <w:tcPr>
            <w:tcW w:w="5096" w:type="dxa"/>
            <w:gridSpan w:val="2"/>
            <w:tcBorders>
              <w:top w:val="nil"/>
              <w:bottom w:val="single" w:sz="4" w:space="0" w:color="auto"/>
            </w:tcBorders>
          </w:tcPr>
          <w:p w14:paraId="6CA1FEF9" w14:textId="77777777" w:rsidR="00F90981" w:rsidRDefault="00F90981" w:rsidP="001278B6">
            <w:pPr>
              <w:pStyle w:val="TableParagraph"/>
              <w:widowControl/>
              <w:adjustRightInd w:val="0"/>
              <w:snapToGrid w:val="0"/>
              <w:jc w:val="center"/>
              <w:rPr>
                <w:snapToGrid w:val="0"/>
                <w:sz w:val="20"/>
                <w:lang w:val="da-DK"/>
              </w:rPr>
            </w:pPr>
          </w:p>
          <w:p w14:paraId="1DBF8760" w14:textId="77777777" w:rsidR="00AE0101" w:rsidRPr="001278B6" w:rsidRDefault="00AE0101" w:rsidP="001278B6">
            <w:pPr>
              <w:pStyle w:val="TableParagraph"/>
              <w:widowControl/>
              <w:adjustRightInd w:val="0"/>
              <w:snapToGrid w:val="0"/>
              <w:jc w:val="center"/>
              <w:rPr>
                <w:snapToGrid w:val="0"/>
                <w:sz w:val="20"/>
                <w:lang w:val="da-DK"/>
              </w:rPr>
            </w:pPr>
            <w:r w:rsidRPr="001278B6">
              <w:rPr>
                <w:snapToGrid w:val="0"/>
                <w:sz w:val="20"/>
                <w:lang w:val="da-DK"/>
              </w:rPr>
              <w:t>0,63</w:t>
            </w:r>
          </w:p>
          <w:p w14:paraId="57B93D86" w14:textId="77777777" w:rsidR="00AE0101" w:rsidRPr="001278B6" w:rsidRDefault="00AE0101" w:rsidP="001278B6">
            <w:pPr>
              <w:pStyle w:val="TableParagraph"/>
              <w:widowControl/>
              <w:adjustRightInd w:val="0"/>
              <w:snapToGrid w:val="0"/>
              <w:jc w:val="center"/>
              <w:rPr>
                <w:snapToGrid w:val="0"/>
                <w:sz w:val="20"/>
                <w:lang w:val="da-DK"/>
              </w:rPr>
            </w:pPr>
            <w:r w:rsidRPr="001278B6">
              <w:rPr>
                <w:snapToGrid w:val="0"/>
                <w:sz w:val="20"/>
                <w:lang w:val="da-DK"/>
              </w:rPr>
              <w:t>0,52</w:t>
            </w:r>
            <w:r w:rsidR="004B3750">
              <w:rPr>
                <w:snapToGrid w:val="0"/>
                <w:sz w:val="20"/>
                <w:lang w:val="da-DK"/>
              </w:rPr>
              <w:noBreakHyphen/>
            </w:r>
            <w:r w:rsidRPr="001278B6">
              <w:rPr>
                <w:snapToGrid w:val="0"/>
                <w:sz w:val="20"/>
                <w:lang w:val="da-DK"/>
              </w:rPr>
              <w:t>0,75</w:t>
            </w:r>
          </w:p>
          <w:p w14:paraId="787A1ABD" w14:textId="77777777" w:rsidR="00AE0101" w:rsidRPr="001278B6" w:rsidRDefault="00AE0101"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 xml:space="preserve">værdi </w:t>
            </w:r>
            <w:r w:rsidRPr="001278B6">
              <w:rPr>
                <w:rFonts w:ascii="Symbol" w:hAnsi="Symbol"/>
                <w:snapToGrid w:val="0"/>
                <w:sz w:val="20"/>
                <w:lang w:val="da-DK"/>
              </w:rPr>
              <w:t></w:t>
            </w:r>
            <w:r w:rsidRPr="001278B6">
              <w:rPr>
                <w:snapToGrid w:val="0"/>
                <w:sz w:val="20"/>
                <w:lang w:val="da-DK"/>
              </w:rPr>
              <w:t xml:space="preserve"> 0,0001)</w:t>
            </w:r>
          </w:p>
        </w:tc>
      </w:tr>
      <w:tr w:rsidR="00986A48" w:rsidRPr="005476B6" w14:paraId="1292923B" w14:textId="77777777" w:rsidTr="00063788">
        <w:tc>
          <w:tcPr>
            <w:tcW w:w="4196" w:type="dxa"/>
            <w:vMerge w:val="restart"/>
          </w:tcPr>
          <w:p w14:paraId="3C1CFEAC" w14:textId="77777777" w:rsidR="00986A48" w:rsidRPr="001278B6" w:rsidRDefault="00986A48" w:rsidP="001278B6">
            <w:pPr>
              <w:pStyle w:val="TableParagraph"/>
              <w:widowControl/>
              <w:adjustRightInd w:val="0"/>
              <w:snapToGrid w:val="0"/>
              <w:rPr>
                <w:snapToGrid w:val="0"/>
                <w:sz w:val="20"/>
                <w:lang w:val="da-DK"/>
              </w:rPr>
            </w:pPr>
            <w:r w:rsidRPr="001278B6">
              <w:rPr>
                <w:snapToGrid w:val="0"/>
                <w:sz w:val="20"/>
                <w:lang w:val="da-DK"/>
              </w:rPr>
              <w:t>Objektiv responsrate (%) for patienter med målelig sygdom</w:t>
            </w:r>
          </w:p>
          <w:p w14:paraId="3F62F1DD" w14:textId="77777777" w:rsidR="00986A48" w:rsidRPr="001278B6" w:rsidRDefault="00986A48" w:rsidP="001278B6">
            <w:pPr>
              <w:pStyle w:val="TableParagraph"/>
              <w:widowControl/>
              <w:adjustRightInd w:val="0"/>
              <w:snapToGrid w:val="0"/>
              <w:ind w:left="180"/>
              <w:rPr>
                <w:snapToGrid w:val="0"/>
                <w:sz w:val="20"/>
                <w:lang w:val="da-DK"/>
              </w:rPr>
            </w:pPr>
            <w:r w:rsidRPr="001278B6">
              <w:rPr>
                <w:snapToGrid w:val="0"/>
                <w:sz w:val="20"/>
                <w:lang w:val="da-DK"/>
              </w:rPr>
              <w:t>N</w:t>
            </w:r>
          </w:p>
          <w:p w14:paraId="51E57BE8" w14:textId="77777777" w:rsidR="00986A48" w:rsidRPr="001278B6" w:rsidRDefault="00986A48" w:rsidP="001278B6">
            <w:pPr>
              <w:pStyle w:val="TableParagraph"/>
              <w:widowControl/>
              <w:adjustRightInd w:val="0"/>
              <w:snapToGrid w:val="0"/>
              <w:ind w:left="180"/>
              <w:rPr>
                <w:snapToGrid w:val="0"/>
                <w:sz w:val="20"/>
                <w:lang w:val="da-DK"/>
              </w:rPr>
            </w:pPr>
            <w:r w:rsidRPr="001278B6">
              <w:rPr>
                <w:snapToGrid w:val="0"/>
                <w:sz w:val="20"/>
                <w:lang w:val="da-DK"/>
              </w:rPr>
              <w:t>Responsrate</w:t>
            </w:r>
          </w:p>
        </w:tc>
        <w:tc>
          <w:tcPr>
            <w:tcW w:w="2695" w:type="dxa"/>
            <w:tcBorders>
              <w:bottom w:val="nil"/>
              <w:right w:val="nil"/>
            </w:tcBorders>
          </w:tcPr>
          <w:p w14:paraId="6BCF5E34" w14:textId="77777777" w:rsidR="00986A48" w:rsidRPr="001278B6" w:rsidRDefault="00986A48" w:rsidP="001278B6">
            <w:pPr>
              <w:pStyle w:val="TableParagraph"/>
              <w:widowControl/>
              <w:adjustRightInd w:val="0"/>
              <w:snapToGrid w:val="0"/>
              <w:rPr>
                <w:b/>
                <w:snapToGrid w:val="0"/>
                <w:sz w:val="20"/>
                <w:lang w:val="da-DK"/>
              </w:rPr>
            </w:pPr>
          </w:p>
          <w:p w14:paraId="0D5DD273" w14:textId="77777777" w:rsidR="00986A48" w:rsidRPr="001278B6" w:rsidRDefault="00986A48" w:rsidP="001278B6">
            <w:pPr>
              <w:pStyle w:val="TableParagraph"/>
              <w:widowControl/>
              <w:adjustRightInd w:val="0"/>
              <w:snapToGrid w:val="0"/>
              <w:rPr>
                <w:b/>
                <w:snapToGrid w:val="0"/>
                <w:sz w:val="20"/>
                <w:lang w:val="da-DK"/>
              </w:rPr>
            </w:pPr>
          </w:p>
          <w:p w14:paraId="635F4C6F" w14:textId="77777777" w:rsidR="00986A48" w:rsidRPr="001278B6" w:rsidRDefault="00986A48" w:rsidP="001278B6">
            <w:pPr>
              <w:pStyle w:val="TableParagraph"/>
              <w:widowControl/>
              <w:adjustRightInd w:val="0"/>
              <w:snapToGrid w:val="0"/>
              <w:jc w:val="center"/>
              <w:rPr>
                <w:snapToGrid w:val="0"/>
                <w:sz w:val="20"/>
                <w:lang w:val="da-DK"/>
              </w:rPr>
            </w:pPr>
            <w:r w:rsidRPr="001278B6">
              <w:rPr>
                <w:snapToGrid w:val="0"/>
                <w:sz w:val="20"/>
                <w:lang w:val="da-DK"/>
              </w:rPr>
              <w:t>289</w:t>
            </w:r>
          </w:p>
        </w:tc>
        <w:tc>
          <w:tcPr>
            <w:tcW w:w="2401" w:type="dxa"/>
            <w:tcBorders>
              <w:left w:val="nil"/>
              <w:bottom w:val="nil"/>
            </w:tcBorders>
          </w:tcPr>
          <w:p w14:paraId="5A04232D" w14:textId="77777777" w:rsidR="00986A48" w:rsidRPr="001278B6" w:rsidRDefault="00986A48" w:rsidP="001278B6">
            <w:pPr>
              <w:pStyle w:val="TableParagraph"/>
              <w:widowControl/>
              <w:adjustRightInd w:val="0"/>
              <w:snapToGrid w:val="0"/>
              <w:jc w:val="center"/>
              <w:rPr>
                <w:b/>
                <w:snapToGrid w:val="0"/>
                <w:sz w:val="20"/>
                <w:lang w:val="da-DK"/>
              </w:rPr>
            </w:pPr>
          </w:p>
          <w:p w14:paraId="6BC661EB" w14:textId="77777777" w:rsidR="00986A48" w:rsidRPr="001278B6" w:rsidRDefault="00986A48" w:rsidP="001278B6">
            <w:pPr>
              <w:pStyle w:val="TableParagraph"/>
              <w:widowControl/>
              <w:adjustRightInd w:val="0"/>
              <w:snapToGrid w:val="0"/>
              <w:jc w:val="center"/>
              <w:rPr>
                <w:b/>
                <w:snapToGrid w:val="0"/>
                <w:sz w:val="20"/>
                <w:lang w:val="da-DK"/>
              </w:rPr>
            </w:pPr>
          </w:p>
          <w:p w14:paraId="34A755C7" w14:textId="77777777" w:rsidR="00986A48" w:rsidRPr="001278B6" w:rsidRDefault="00986A48" w:rsidP="001278B6">
            <w:pPr>
              <w:pStyle w:val="TableParagraph"/>
              <w:widowControl/>
              <w:adjustRightInd w:val="0"/>
              <w:snapToGrid w:val="0"/>
              <w:jc w:val="center"/>
              <w:rPr>
                <w:snapToGrid w:val="0"/>
                <w:sz w:val="20"/>
                <w:lang w:val="da-DK"/>
              </w:rPr>
            </w:pPr>
            <w:r w:rsidRPr="001278B6">
              <w:rPr>
                <w:snapToGrid w:val="0"/>
                <w:sz w:val="20"/>
                <w:lang w:val="da-DK"/>
              </w:rPr>
              <w:t>306</w:t>
            </w:r>
          </w:p>
        </w:tc>
      </w:tr>
      <w:tr w:rsidR="00E442B1" w:rsidRPr="005476B6" w14:paraId="68BB6A8C" w14:textId="77777777" w:rsidTr="00635181">
        <w:tc>
          <w:tcPr>
            <w:tcW w:w="4196" w:type="dxa"/>
            <w:vMerge/>
          </w:tcPr>
          <w:p w14:paraId="1C009A3B" w14:textId="77777777" w:rsidR="00E442B1" w:rsidRPr="001278B6" w:rsidRDefault="00E442B1" w:rsidP="001278B6">
            <w:pPr>
              <w:pStyle w:val="TableParagraph"/>
              <w:widowControl/>
              <w:adjustRightInd w:val="0"/>
              <w:snapToGrid w:val="0"/>
              <w:rPr>
                <w:snapToGrid w:val="0"/>
                <w:sz w:val="20"/>
                <w:lang w:val="da-DK"/>
              </w:rPr>
            </w:pPr>
          </w:p>
        </w:tc>
        <w:tc>
          <w:tcPr>
            <w:tcW w:w="2695" w:type="dxa"/>
            <w:tcBorders>
              <w:top w:val="nil"/>
              <w:bottom w:val="nil"/>
              <w:right w:val="nil"/>
            </w:tcBorders>
          </w:tcPr>
          <w:p w14:paraId="5E299722" w14:textId="77777777" w:rsidR="00E442B1" w:rsidRPr="001278B6" w:rsidRDefault="00E442B1" w:rsidP="001278B6">
            <w:pPr>
              <w:pStyle w:val="TableParagraph"/>
              <w:widowControl/>
              <w:adjustRightInd w:val="0"/>
              <w:snapToGrid w:val="0"/>
              <w:jc w:val="center"/>
              <w:rPr>
                <w:snapToGrid w:val="0"/>
                <w:sz w:val="20"/>
                <w:lang w:val="da-DK"/>
              </w:rPr>
            </w:pPr>
            <w:r w:rsidRPr="001278B6">
              <w:rPr>
                <w:snapToGrid w:val="0"/>
                <w:sz w:val="20"/>
                <w:lang w:val="da-DK"/>
              </w:rPr>
              <w:t>12,8 %</w:t>
            </w:r>
          </w:p>
        </w:tc>
        <w:tc>
          <w:tcPr>
            <w:tcW w:w="2401" w:type="dxa"/>
            <w:tcBorders>
              <w:top w:val="single" w:sz="4" w:space="0" w:color="FFFFFF"/>
              <w:left w:val="nil"/>
              <w:bottom w:val="nil"/>
            </w:tcBorders>
          </w:tcPr>
          <w:p w14:paraId="7C97DB0D" w14:textId="77777777" w:rsidR="00E442B1" w:rsidRPr="001278B6" w:rsidRDefault="00E442B1" w:rsidP="001278B6">
            <w:pPr>
              <w:pStyle w:val="TableParagraph"/>
              <w:widowControl/>
              <w:adjustRightInd w:val="0"/>
              <w:snapToGrid w:val="0"/>
              <w:jc w:val="center"/>
              <w:rPr>
                <w:snapToGrid w:val="0"/>
                <w:sz w:val="20"/>
                <w:lang w:val="da-DK"/>
              </w:rPr>
            </w:pPr>
            <w:r w:rsidRPr="001278B6">
              <w:rPr>
                <w:snapToGrid w:val="0"/>
                <w:sz w:val="20"/>
                <w:lang w:val="da-DK"/>
              </w:rPr>
              <w:t>31,4 %</w:t>
            </w:r>
          </w:p>
        </w:tc>
      </w:tr>
      <w:tr w:rsidR="00E442B1" w:rsidRPr="005476B6" w14:paraId="7AF39801" w14:textId="77777777" w:rsidTr="00454F6F">
        <w:tc>
          <w:tcPr>
            <w:tcW w:w="4196" w:type="dxa"/>
            <w:vMerge/>
          </w:tcPr>
          <w:p w14:paraId="78F35B31" w14:textId="77777777" w:rsidR="00E442B1" w:rsidRPr="001278B6" w:rsidRDefault="00E442B1" w:rsidP="001278B6">
            <w:pPr>
              <w:pStyle w:val="TableParagraph"/>
              <w:widowControl/>
              <w:adjustRightInd w:val="0"/>
              <w:snapToGrid w:val="0"/>
              <w:rPr>
                <w:snapToGrid w:val="0"/>
                <w:sz w:val="20"/>
                <w:lang w:val="da-DK"/>
              </w:rPr>
            </w:pPr>
          </w:p>
        </w:tc>
        <w:tc>
          <w:tcPr>
            <w:tcW w:w="5096" w:type="dxa"/>
            <w:gridSpan w:val="2"/>
            <w:tcBorders>
              <w:top w:val="nil"/>
            </w:tcBorders>
          </w:tcPr>
          <w:p w14:paraId="2AFE5AF1" w14:textId="77777777" w:rsidR="00E442B1" w:rsidRPr="001278B6" w:rsidRDefault="00E442B1"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 xml:space="preserve">værdi </w:t>
            </w:r>
            <w:r w:rsidR="003E0870" w:rsidRPr="001278B6">
              <w:rPr>
                <w:rFonts w:ascii="Lato" w:hAnsi="Lato"/>
                <w:snapToGrid w:val="0"/>
                <w:sz w:val="20"/>
                <w:lang w:val="da-DK"/>
              </w:rPr>
              <w:t>&lt;</w:t>
            </w:r>
            <w:r w:rsidR="003E0870" w:rsidRPr="001278B6">
              <w:rPr>
                <w:snapToGrid w:val="0"/>
                <w:sz w:val="20"/>
                <w:lang w:val="da-DK"/>
              </w:rPr>
              <w:t xml:space="preserve"> 0,0001)</w:t>
            </w:r>
          </w:p>
        </w:tc>
      </w:tr>
      <w:tr w:rsidR="003E0870" w:rsidRPr="005476B6" w14:paraId="18FE7FF3" w14:textId="77777777" w:rsidTr="00063788">
        <w:trPr>
          <w:trHeight w:val="470"/>
        </w:trPr>
        <w:tc>
          <w:tcPr>
            <w:tcW w:w="4203" w:type="dxa"/>
            <w:vMerge w:val="restart"/>
          </w:tcPr>
          <w:p w14:paraId="6E1B5100" w14:textId="77777777" w:rsidR="003E0870" w:rsidRPr="001278B6" w:rsidRDefault="003E0870" w:rsidP="001278B6">
            <w:pPr>
              <w:pStyle w:val="TableParagraph"/>
              <w:widowControl/>
              <w:adjustRightInd w:val="0"/>
              <w:snapToGrid w:val="0"/>
              <w:rPr>
                <w:snapToGrid w:val="0"/>
                <w:sz w:val="20"/>
                <w:lang w:val="da-DK"/>
              </w:rPr>
            </w:pPr>
            <w:r w:rsidRPr="001278B6">
              <w:rPr>
                <w:snapToGrid w:val="0"/>
                <w:sz w:val="20"/>
                <w:lang w:val="da-DK"/>
              </w:rPr>
              <w:t>Samlet overlevelse</w:t>
            </w:r>
          </w:p>
          <w:p w14:paraId="28FF69E8" w14:textId="77777777" w:rsidR="003E0870" w:rsidRPr="001278B6" w:rsidRDefault="003E0870" w:rsidP="001278B6">
            <w:pPr>
              <w:pStyle w:val="TableParagraph"/>
              <w:widowControl/>
              <w:adjustRightInd w:val="0"/>
              <w:snapToGrid w:val="0"/>
              <w:ind w:left="180"/>
              <w:rPr>
                <w:snapToGrid w:val="0"/>
                <w:sz w:val="20"/>
                <w:lang w:val="da-DK"/>
              </w:rPr>
            </w:pPr>
            <w:r w:rsidRPr="001278B6">
              <w:rPr>
                <w:snapToGrid w:val="0"/>
                <w:sz w:val="20"/>
                <w:lang w:val="da-DK"/>
              </w:rPr>
              <w:t>Median (måneder)</w:t>
            </w:r>
          </w:p>
          <w:p w14:paraId="698EBB53" w14:textId="77777777" w:rsidR="00F90981" w:rsidRPr="00096AD4" w:rsidRDefault="00F90981" w:rsidP="001278B6">
            <w:pPr>
              <w:pStyle w:val="TableParagraph"/>
              <w:widowControl/>
              <w:adjustRightInd w:val="0"/>
              <w:snapToGrid w:val="0"/>
              <w:ind w:left="180"/>
              <w:rPr>
                <w:iCs/>
                <w:snapToGrid w:val="0"/>
                <w:sz w:val="20"/>
                <w:lang w:val="da-DK"/>
              </w:rPr>
            </w:pPr>
          </w:p>
          <w:p w14:paraId="23B55B63" w14:textId="77777777" w:rsidR="003E0870" w:rsidRPr="00096AD4" w:rsidRDefault="003E0870" w:rsidP="001278B6">
            <w:pPr>
              <w:pStyle w:val="TableParagraph"/>
              <w:widowControl/>
              <w:adjustRightInd w:val="0"/>
              <w:snapToGrid w:val="0"/>
              <w:ind w:left="180"/>
              <w:rPr>
                <w:iCs/>
                <w:snapToGrid w:val="0"/>
                <w:sz w:val="20"/>
                <w:lang w:val="da-DK"/>
              </w:rPr>
            </w:pPr>
            <w:r w:rsidRPr="00096AD4">
              <w:rPr>
                <w:iCs/>
                <w:snapToGrid w:val="0"/>
                <w:sz w:val="20"/>
                <w:lang w:val="da-DK"/>
              </w:rPr>
              <w:t>Hazard ratio</w:t>
            </w:r>
          </w:p>
          <w:p w14:paraId="7F7F9E95" w14:textId="77777777" w:rsidR="003E0870" w:rsidRPr="001278B6" w:rsidRDefault="003E0870" w:rsidP="001278B6">
            <w:pPr>
              <w:pStyle w:val="TableParagraph"/>
              <w:widowControl/>
              <w:adjustRightInd w:val="0"/>
              <w:snapToGrid w:val="0"/>
              <w:ind w:left="180"/>
              <w:rPr>
                <w:snapToGrid w:val="0"/>
                <w:sz w:val="20"/>
                <w:lang w:val="da-DK"/>
              </w:rPr>
            </w:pPr>
            <w:r w:rsidRPr="001278B6">
              <w:rPr>
                <w:snapToGrid w:val="0"/>
                <w:sz w:val="20"/>
                <w:lang w:val="da-DK"/>
              </w:rPr>
              <w:t>95 % konfidensinterval</w:t>
            </w:r>
          </w:p>
        </w:tc>
        <w:tc>
          <w:tcPr>
            <w:tcW w:w="2709" w:type="dxa"/>
            <w:tcBorders>
              <w:bottom w:val="single" w:sz="4" w:space="0" w:color="FFFFFF"/>
              <w:right w:val="single" w:sz="4" w:space="0" w:color="FFFFFF"/>
            </w:tcBorders>
          </w:tcPr>
          <w:p w14:paraId="5DF3AE1E" w14:textId="77777777" w:rsidR="003E0870" w:rsidRPr="001278B6" w:rsidRDefault="003E0870" w:rsidP="001278B6">
            <w:pPr>
              <w:pStyle w:val="TableParagraph"/>
              <w:widowControl/>
              <w:adjustRightInd w:val="0"/>
              <w:snapToGrid w:val="0"/>
              <w:jc w:val="center"/>
              <w:rPr>
                <w:snapToGrid w:val="0"/>
                <w:sz w:val="20"/>
                <w:lang w:val="da-DK"/>
              </w:rPr>
            </w:pPr>
          </w:p>
          <w:p w14:paraId="686B95A1" w14:textId="77777777" w:rsidR="003E0870" w:rsidRPr="001278B6" w:rsidRDefault="003E0870" w:rsidP="001278B6">
            <w:pPr>
              <w:pStyle w:val="TableParagraph"/>
              <w:widowControl/>
              <w:adjustRightInd w:val="0"/>
              <w:snapToGrid w:val="0"/>
              <w:jc w:val="center"/>
              <w:rPr>
                <w:snapToGrid w:val="0"/>
                <w:sz w:val="20"/>
                <w:lang w:val="da-DK"/>
              </w:rPr>
            </w:pPr>
            <w:r w:rsidRPr="001278B6">
              <w:rPr>
                <w:snapToGrid w:val="0"/>
                <w:sz w:val="20"/>
                <w:lang w:val="da-DK"/>
              </w:rPr>
              <w:t>21,3</w:t>
            </w:r>
          </w:p>
        </w:tc>
        <w:tc>
          <w:tcPr>
            <w:tcW w:w="2380" w:type="dxa"/>
            <w:tcBorders>
              <w:left w:val="single" w:sz="4" w:space="0" w:color="FFFFFF"/>
              <w:bottom w:val="single" w:sz="4" w:space="0" w:color="FFFFFF"/>
            </w:tcBorders>
          </w:tcPr>
          <w:p w14:paraId="02582E70" w14:textId="77777777" w:rsidR="003E0870" w:rsidRPr="001278B6" w:rsidRDefault="003E0870" w:rsidP="001278B6">
            <w:pPr>
              <w:pStyle w:val="TableParagraph"/>
              <w:widowControl/>
              <w:adjustRightInd w:val="0"/>
              <w:snapToGrid w:val="0"/>
              <w:jc w:val="center"/>
              <w:rPr>
                <w:snapToGrid w:val="0"/>
                <w:sz w:val="20"/>
                <w:lang w:val="da-DK"/>
              </w:rPr>
            </w:pPr>
          </w:p>
          <w:p w14:paraId="0BFA3636" w14:textId="77777777" w:rsidR="003E0870" w:rsidRPr="001278B6" w:rsidRDefault="003E0870" w:rsidP="001278B6">
            <w:pPr>
              <w:pStyle w:val="TableParagraph"/>
              <w:widowControl/>
              <w:adjustRightInd w:val="0"/>
              <w:snapToGrid w:val="0"/>
              <w:jc w:val="center"/>
              <w:rPr>
                <w:snapToGrid w:val="0"/>
                <w:sz w:val="20"/>
                <w:lang w:val="da-DK"/>
              </w:rPr>
            </w:pPr>
            <w:r w:rsidRPr="001278B6">
              <w:rPr>
                <w:snapToGrid w:val="0"/>
                <w:sz w:val="20"/>
                <w:lang w:val="da-DK"/>
              </w:rPr>
              <w:t>23,3</w:t>
            </w:r>
          </w:p>
        </w:tc>
      </w:tr>
      <w:tr w:rsidR="003E0870" w:rsidRPr="005476B6" w14:paraId="7B553173" w14:textId="77777777" w:rsidTr="00063788">
        <w:tc>
          <w:tcPr>
            <w:tcW w:w="4203" w:type="dxa"/>
            <w:vMerge/>
          </w:tcPr>
          <w:p w14:paraId="767F5EF0" w14:textId="77777777" w:rsidR="003E0870" w:rsidRPr="001278B6" w:rsidRDefault="003E0870" w:rsidP="001278B6">
            <w:pPr>
              <w:pStyle w:val="TableParagraph"/>
              <w:widowControl/>
              <w:adjustRightInd w:val="0"/>
              <w:snapToGrid w:val="0"/>
              <w:rPr>
                <w:snapToGrid w:val="0"/>
                <w:sz w:val="20"/>
                <w:lang w:val="da-DK"/>
              </w:rPr>
            </w:pPr>
          </w:p>
        </w:tc>
        <w:tc>
          <w:tcPr>
            <w:tcW w:w="5089" w:type="dxa"/>
            <w:gridSpan w:val="2"/>
            <w:tcBorders>
              <w:top w:val="single" w:sz="4" w:space="0" w:color="FFFFFF"/>
            </w:tcBorders>
          </w:tcPr>
          <w:p w14:paraId="0F6A0DB2" w14:textId="77777777" w:rsidR="00F90981" w:rsidRDefault="00F90981" w:rsidP="001278B6">
            <w:pPr>
              <w:pStyle w:val="TableParagraph"/>
              <w:widowControl/>
              <w:adjustRightInd w:val="0"/>
              <w:snapToGrid w:val="0"/>
              <w:jc w:val="center"/>
              <w:rPr>
                <w:snapToGrid w:val="0"/>
                <w:sz w:val="20"/>
                <w:lang w:val="da-DK"/>
              </w:rPr>
            </w:pPr>
          </w:p>
          <w:p w14:paraId="729C2221" w14:textId="77777777" w:rsidR="003E0870" w:rsidRPr="001278B6" w:rsidRDefault="003E0870" w:rsidP="001278B6">
            <w:pPr>
              <w:pStyle w:val="TableParagraph"/>
              <w:widowControl/>
              <w:adjustRightInd w:val="0"/>
              <w:snapToGrid w:val="0"/>
              <w:jc w:val="center"/>
              <w:rPr>
                <w:snapToGrid w:val="0"/>
                <w:sz w:val="20"/>
                <w:lang w:val="da-DK"/>
              </w:rPr>
            </w:pPr>
            <w:r w:rsidRPr="001278B6">
              <w:rPr>
                <w:snapToGrid w:val="0"/>
                <w:sz w:val="20"/>
                <w:lang w:val="da-DK"/>
              </w:rPr>
              <w:t>0,91</w:t>
            </w:r>
          </w:p>
          <w:p w14:paraId="6AD63C3B" w14:textId="77777777" w:rsidR="003E0870" w:rsidRPr="001278B6" w:rsidRDefault="003E0870" w:rsidP="001278B6">
            <w:pPr>
              <w:pStyle w:val="TableParagraph"/>
              <w:widowControl/>
              <w:adjustRightInd w:val="0"/>
              <w:snapToGrid w:val="0"/>
              <w:jc w:val="center"/>
              <w:rPr>
                <w:snapToGrid w:val="0"/>
                <w:sz w:val="20"/>
                <w:lang w:val="da-DK"/>
              </w:rPr>
            </w:pPr>
            <w:r w:rsidRPr="001278B6">
              <w:rPr>
                <w:snapToGrid w:val="0"/>
                <w:sz w:val="20"/>
                <w:lang w:val="da-DK"/>
              </w:rPr>
              <w:t>0,76</w:t>
            </w:r>
            <w:r w:rsidR="004B3750">
              <w:rPr>
                <w:snapToGrid w:val="0"/>
                <w:sz w:val="20"/>
                <w:lang w:val="da-DK"/>
              </w:rPr>
              <w:noBreakHyphen/>
            </w:r>
            <w:r w:rsidRPr="001278B6">
              <w:rPr>
                <w:snapToGrid w:val="0"/>
                <w:sz w:val="20"/>
                <w:lang w:val="da-DK"/>
              </w:rPr>
              <w:t>1,10</w:t>
            </w:r>
          </w:p>
          <w:p w14:paraId="37D1812B" w14:textId="77777777" w:rsidR="003E0870" w:rsidRPr="001278B6" w:rsidRDefault="003E0870"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0,3360)</w:t>
            </w:r>
          </w:p>
        </w:tc>
      </w:tr>
    </w:tbl>
    <w:p w14:paraId="0E56F906" w14:textId="77777777" w:rsidR="00CF1BD7" w:rsidRPr="001278B6" w:rsidRDefault="00CF1BD7" w:rsidP="001278B6">
      <w:pPr>
        <w:pStyle w:val="TableParagraph"/>
        <w:widowControl/>
        <w:adjustRightInd w:val="0"/>
        <w:snapToGrid w:val="0"/>
        <w:rPr>
          <w:snapToGrid w:val="0"/>
          <w:sz w:val="18"/>
          <w:szCs w:val="18"/>
          <w:lang w:val="da-DK"/>
        </w:rPr>
      </w:pPr>
      <w:r w:rsidRPr="001278B6">
        <w:rPr>
          <w:snapToGrid w:val="0"/>
          <w:sz w:val="18"/>
          <w:szCs w:val="18"/>
          <w:vertAlign w:val="superscript"/>
          <w:lang w:val="da-DK"/>
        </w:rPr>
        <w:t>a</w:t>
      </w:r>
      <w:r w:rsidRPr="001278B6">
        <w:rPr>
          <w:snapToGrid w:val="0"/>
          <w:sz w:val="18"/>
          <w:szCs w:val="18"/>
          <w:lang w:val="da-DK"/>
        </w:rPr>
        <w:t xml:space="preserve"> Interferon alfa</w:t>
      </w:r>
      <w:r w:rsidR="004B3750">
        <w:rPr>
          <w:snapToGrid w:val="0"/>
          <w:sz w:val="18"/>
          <w:szCs w:val="18"/>
          <w:lang w:val="da-DK"/>
        </w:rPr>
        <w:noBreakHyphen/>
      </w:r>
      <w:r w:rsidRPr="001278B6">
        <w:rPr>
          <w:snapToGrid w:val="0"/>
          <w:sz w:val="18"/>
          <w:szCs w:val="18"/>
          <w:lang w:val="da-DK"/>
        </w:rPr>
        <w:t>2a 9 MIE 3x/ugentlig</w:t>
      </w:r>
    </w:p>
    <w:p w14:paraId="399C128D" w14:textId="77777777" w:rsidR="003563EF" w:rsidRPr="001278B6" w:rsidRDefault="00CF1BD7" w:rsidP="001278B6">
      <w:pPr>
        <w:pStyle w:val="a3"/>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Bevacizumab 10 mg/kg hver 2. Uge</w:t>
      </w:r>
    </w:p>
    <w:p w14:paraId="33808DFB" w14:textId="77777777" w:rsidR="00CF1BD7" w:rsidRPr="001278B6" w:rsidRDefault="00CF1BD7" w:rsidP="001278B6">
      <w:pPr>
        <w:pStyle w:val="a3"/>
        <w:widowControl/>
        <w:adjustRightInd w:val="0"/>
        <w:snapToGrid w:val="0"/>
        <w:rPr>
          <w:b/>
          <w:snapToGrid w:val="0"/>
          <w:lang w:val="da-DK"/>
        </w:rPr>
      </w:pPr>
    </w:p>
    <w:p w14:paraId="65D39918" w14:textId="77777777" w:rsidR="003563EF" w:rsidRPr="001278B6" w:rsidRDefault="00473235" w:rsidP="001278B6">
      <w:pPr>
        <w:pStyle w:val="a3"/>
        <w:widowControl/>
        <w:adjustRightInd w:val="0"/>
        <w:snapToGrid w:val="0"/>
        <w:rPr>
          <w:snapToGrid w:val="0"/>
          <w:lang w:val="da-DK"/>
        </w:rPr>
      </w:pPr>
      <w:r w:rsidRPr="001278B6">
        <w:rPr>
          <w:snapToGrid w:val="0"/>
          <w:lang w:val="da-DK"/>
        </w:rPr>
        <w:t>En eksplorativ, multivariant, baglæns trinvis (</w:t>
      </w:r>
      <w:r w:rsidRPr="001278B6">
        <w:rPr>
          <w:i/>
          <w:snapToGrid w:val="0"/>
          <w:lang w:val="da-DK"/>
        </w:rPr>
        <w:t xml:space="preserve">backward </w:t>
      </w:r>
      <w:r w:rsidRPr="001278B6">
        <w:rPr>
          <w:snapToGrid w:val="0"/>
          <w:lang w:val="da-DK"/>
        </w:rPr>
        <w:t>stepwise) Cox</w:t>
      </w:r>
      <w:r w:rsidR="004B3750">
        <w:rPr>
          <w:snapToGrid w:val="0"/>
          <w:lang w:val="da-DK"/>
        </w:rPr>
        <w:noBreakHyphen/>
      </w:r>
      <w:r w:rsidRPr="001278B6">
        <w:rPr>
          <w:snapToGrid w:val="0"/>
          <w:lang w:val="da-DK"/>
        </w:rPr>
        <w:t xml:space="preserve">regressionsanalyse indikerede, at følgende prognostiske faktorer ved </w:t>
      </w:r>
      <w:r w:rsidRPr="001278B6">
        <w:rPr>
          <w:i/>
          <w:snapToGrid w:val="0"/>
          <w:lang w:val="da-DK"/>
        </w:rPr>
        <w:t xml:space="preserve">baseline </w:t>
      </w:r>
      <w:r w:rsidRPr="001278B6">
        <w:rPr>
          <w:snapToGrid w:val="0"/>
          <w:lang w:val="da-DK"/>
        </w:rPr>
        <w:t>var stærkt relateret til overlevelse uafhængigt af behandling: Køn, antal hvide blodlegemer, antal blodplader, vægttab i de 6 måneder inden indtræden i studiet, antal metastaser, summen af den længste diameter af targetlæsioner, Motzer</w:t>
      </w:r>
      <w:r w:rsidR="004B3750">
        <w:rPr>
          <w:snapToGrid w:val="0"/>
          <w:lang w:val="da-DK"/>
        </w:rPr>
        <w:noBreakHyphen/>
      </w:r>
      <w:r w:rsidRPr="001278B6">
        <w:rPr>
          <w:snapToGrid w:val="0"/>
          <w:lang w:val="da-DK"/>
        </w:rPr>
        <w:t xml:space="preserve">score. Tages der højde for disse </w:t>
      </w:r>
      <w:r w:rsidRPr="001278B6">
        <w:rPr>
          <w:i/>
          <w:snapToGrid w:val="0"/>
          <w:lang w:val="da-DK"/>
        </w:rPr>
        <w:t>baseline</w:t>
      </w:r>
      <w:r w:rsidR="004B3750">
        <w:rPr>
          <w:snapToGrid w:val="0"/>
          <w:lang w:val="da-DK"/>
        </w:rPr>
        <w:noBreakHyphen/>
      </w:r>
      <w:r w:rsidRPr="001278B6">
        <w:rPr>
          <w:snapToGrid w:val="0"/>
          <w:lang w:val="da-DK"/>
        </w:rPr>
        <w:t xml:space="preserve">faktorer, blev </w:t>
      </w:r>
      <w:r w:rsidRPr="001278B6">
        <w:rPr>
          <w:i/>
          <w:snapToGrid w:val="0"/>
          <w:lang w:val="da-DK"/>
        </w:rPr>
        <w:t xml:space="preserve">hazard </w:t>
      </w:r>
      <w:r w:rsidRPr="001278B6">
        <w:rPr>
          <w:snapToGrid w:val="0"/>
          <w:lang w:val="da-DK"/>
        </w:rPr>
        <w:t xml:space="preserve">ratio for behandlingen 0,78 (95 % konfidensinterval [0,63 </w:t>
      </w:r>
      <w:r w:rsidR="004B3750">
        <w:rPr>
          <w:snapToGrid w:val="0"/>
          <w:lang w:val="da-DK"/>
        </w:rPr>
        <w:noBreakHyphen/>
      </w:r>
      <w:r w:rsidRPr="001278B6">
        <w:rPr>
          <w:snapToGrid w:val="0"/>
          <w:lang w:val="da-DK"/>
        </w:rPr>
        <w:t xml:space="preserve"> 0,96], p = 0,0219), indikerende en 22 % risikoreduktion for død for patienter i </w:t>
      </w:r>
      <w:r w:rsidR="00F90981">
        <w:rPr>
          <w:snapToGrid w:val="0"/>
          <w:lang w:val="da-DK"/>
        </w:rPr>
        <w:t>bevacizumab</w:t>
      </w:r>
      <w:r w:rsidRPr="001278B6">
        <w:rPr>
          <w:snapToGrid w:val="0"/>
          <w:lang w:val="da-DK"/>
        </w:rPr>
        <w:t xml:space="preserve"> + IFN alfa</w:t>
      </w:r>
      <w:r w:rsidR="004B3750">
        <w:rPr>
          <w:snapToGrid w:val="0"/>
          <w:lang w:val="da-DK"/>
        </w:rPr>
        <w:noBreakHyphen/>
      </w:r>
      <w:r w:rsidRPr="001278B6">
        <w:rPr>
          <w:snapToGrid w:val="0"/>
          <w:lang w:val="da-DK"/>
        </w:rPr>
        <w:t>2a</w:t>
      </w:r>
      <w:r w:rsidR="004B3750">
        <w:rPr>
          <w:snapToGrid w:val="0"/>
          <w:lang w:val="da-DK"/>
        </w:rPr>
        <w:noBreakHyphen/>
      </w:r>
      <w:r w:rsidRPr="001278B6">
        <w:rPr>
          <w:snapToGrid w:val="0"/>
          <w:lang w:val="da-DK"/>
        </w:rPr>
        <w:t>armen i forhold til IFN alfa</w:t>
      </w:r>
      <w:r w:rsidR="004B3750">
        <w:rPr>
          <w:snapToGrid w:val="0"/>
          <w:lang w:val="da-DK"/>
        </w:rPr>
        <w:noBreakHyphen/>
      </w:r>
      <w:r w:rsidRPr="001278B6">
        <w:rPr>
          <w:snapToGrid w:val="0"/>
          <w:lang w:val="da-DK"/>
        </w:rPr>
        <w:t>2a</w:t>
      </w:r>
      <w:r w:rsidR="004B3750">
        <w:rPr>
          <w:snapToGrid w:val="0"/>
          <w:lang w:val="da-DK"/>
        </w:rPr>
        <w:noBreakHyphen/>
      </w:r>
      <w:r w:rsidRPr="001278B6">
        <w:rPr>
          <w:snapToGrid w:val="0"/>
          <w:lang w:val="da-DK"/>
        </w:rPr>
        <w:t>armen.</w:t>
      </w:r>
    </w:p>
    <w:p w14:paraId="01A50F6E" w14:textId="77777777" w:rsidR="003563EF" w:rsidRPr="001278B6" w:rsidRDefault="003563EF" w:rsidP="001278B6">
      <w:pPr>
        <w:pStyle w:val="a3"/>
        <w:widowControl/>
        <w:adjustRightInd w:val="0"/>
        <w:snapToGrid w:val="0"/>
        <w:rPr>
          <w:snapToGrid w:val="0"/>
          <w:lang w:val="da-DK"/>
        </w:rPr>
      </w:pPr>
    </w:p>
    <w:p w14:paraId="344D9D0B" w14:textId="77777777" w:rsidR="003563EF" w:rsidRPr="001278B6" w:rsidRDefault="00473235" w:rsidP="001278B6">
      <w:pPr>
        <w:pStyle w:val="a3"/>
        <w:widowControl/>
        <w:adjustRightInd w:val="0"/>
        <w:snapToGrid w:val="0"/>
        <w:rPr>
          <w:snapToGrid w:val="0"/>
          <w:lang w:val="da-DK"/>
        </w:rPr>
      </w:pPr>
      <w:r w:rsidRPr="001278B6">
        <w:rPr>
          <w:snapToGrid w:val="0"/>
          <w:lang w:val="da-DK"/>
        </w:rPr>
        <w:t>Syvoghalvfems (97) patienter i IFN alfa</w:t>
      </w:r>
      <w:r w:rsidR="004B3750">
        <w:rPr>
          <w:snapToGrid w:val="0"/>
          <w:lang w:val="da-DK"/>
        </w:rPr>
        <w:noBreakHyphen/>
      </w:r>
      <w:r w:rsidRPr="001278B6">
        <w:rPr>
          <w:snapToGrid w:val="0"/>
          <w:lang w:val="da-DK"/>
        </w:rPr>
        <w:t>2a</w:t>
      </w:r>
      <w:r w:rsidR="004B3750">
        <w:rPr>
          <w:snapToGrid w:val="0"/>
          <w:lang w:val="da-DK"/>
        </w:rPr>
        <w:noBreakHyphen/>
      </w:r>
      <w:r w:rsidRPr="001278B6">
        <w:rPr>
          <w:snapToGrid w:val="0"/>
          <w:lang w:val="da-DK"/>
        </w:rPr>
        <w:t xml:space="preserve">armen og 131 patienter i </w:t>
      </w:r>
      <w:r w:rsidR="00F90981">
        <w:rPr>
          <w:snapToGrid w:val="0"/>
          <w:lang w:val="da-DK"/>
        </w:rPr>
        <w:t>bevacizumab</w:t>
      </w:r>
      <w:r w:rsidR="004B3750">
        <w:rPr>
          <w:snapToGrid w:val="0"/>
          <w:lang w:val="da-DK"/>
        </w:rPr>
        <w:noBreakHyphen/>
      </w:r>
      <w:r w:rsidRPr="001278B6">
        <w:rPr>
          <w:snapToGrid w:val="0"/>
          <w:lang w:val="da-DK"/>
        </w:rPr>
        <w:t>armen reducerede dosis af IFN alfa</w:t>
      </w:r>
      <w:r w:rsidR="004B3750">
        <w:rPr>
          <w:snapToGrid w:val="0"/>
          <w:lang w:val="da-DK"/>
        </w:rPr>
        <w:noBreakHyphen/>
      </w:r>
      <w:r w:rsidRPr="001278B6">
        <w:rPr>
          <w:snapToGrid w:val="0"/>
          <w:lang w:val="da-DK"/>
        </w:rPr>
        <w:t>2a fra 9 MIE tre gange ugentligt til enten 6 eller 3 MIE tre gange ugentligt som præspecificeret i protokollen. Dosisreduktion af IFN alfa</w:t>
      </w:r>
      <w:r w:rsidR="004B3750">
        <w:rPr>
          <w:snapToGrid w:val="0"/>
          <w:lang w:val="da-DK"/>
        </w:rPr>
        <w:noBreakHyphen/>
      </w:r>
      <w:r w:rsidRPr="001278B6">
        <w:rPr>
          <w:snapToGrid w:val="0"/>
          <w:lang w:val="da-DK"/>
        </w:rPr>
        <w:t xml:space="preserve">2a syntes ikke at påvirke effekten af kombinationen af </w:t>
      </w:r>
      <w:r w:rsidR="00F90981">
        <w:rPr>
          <w:snapToGrid w:val="0"/>
          <w:lang w:val="da-DK"/>
        </w:rPr>
        <w:t>bevacizumab</w:t>
      </w:r>
      <w:r w:rsidRPr="001278B6">
        <w:rPr>
          <w:snapToGrid w:val="0"/>
          <w:lang w:val="da-DK"/>
        </w:rPr>
        <w:t xml:space="preserve"> og IFN alfa</w:t>
      </w:r>
      <w:r w:rsidR="004B3750">
        <w:rPr>
          <w:snapToGrid w:val="0"/>
          <w:lang w:val="da-DK"/>
        </w:rPr>
        <w:noBreakHyphen/>
      </w:r>
      <w:r w:rsidRPr="001278B6">
        <w:rPr>
          <w:snapToGrid w:val="0"/>
          <w:lang w:val="da-DK"/>
        </w:rPr>
        <w:t xml:space="preserve">2a, baseret på antal hændelser i tidsrummet for progressionsfri overlevelse, som er vist ved en undergruppeanalyse. De 131 patienter i </w:t>
      </w:r>
      <w:r w:rsidR="00F90981">
        <w:rPr>
          <w:snapToGrid w:val="0"/>
          <w:lang w:val="da-DK"/>
        </w:rPr>
        <w:t>bevacizumab</w:t>
      </w:r>
      <w:r w:rsidRPr="001278B6">
        <w:rPr>
          <w:snapToGrid w:val="0"/>
          <w:lang w:val="da-DK"/>
        </w:rPr>
        <w:t xml:space="preserve"> + IFN alfa</w:t>
      </w:r>
      <w:r w:rsidR="004B3750">
        <w:rPr>
          <w:snapToGrid w:val="0"/>
          <w:lang w:val="da-DK"/>
        </w:rPr>
        <w:noBreakHyphen/>
      </w:r>
      <w:r w:rsidRPr="001278B6">
        <w:rPr>
          <w:snapToGrid w:val="0"/>
          <w:lang w:val="da-DK"/>
        </w:rPr>
        <w:t>2a</w:t>
      </w:r>
      <w:r w:rsidR="004B3750">
        <w:rPr>
          <w:snapToGrid w:val="0"/>
          <w:lang w:val="da-DK"/>
        </w:rPr>
        <w:noBreakHyphen/>
      </w:r>
      <w:r w:rsidRPr="001278B6">
        <w:rPr>
          <w:snapToGrid w:val="0"/>
          <w:lang w:val="da-DK"/>
        </w:rPr>
        <w:t>armen, som reducerede og fastholdt IFN alfa</w:t>
      </w:r>
      <w:r w:rsidR="004B3750">
        <w:rPr>
          <w:snapToGrid w:val="0"/>
          <w:lang w:val="da-DK"/>
        </w:rPr>
        <w:noBreakHyphen/>
      </w:r>
      <w:r w:rsidRPr="001278B6">
        <w:rPr>
          <w:snapToGrid w:val="0"/>
          <w:lang w:val="da-DK"/>
        </w:rPr>
        <w:t xml:space="preserve">2a dosis på 6 eller 3 MIE under studiet, viste at antal hændelser i tidsrummet for progressionsfri overlevelse ved 6, 12 og 18 måneder var henholdsvis 73, 52 og 21 % i forhold til 61, 43 og 17 % i den totale population af patienter, som fik </w:t>
      </w:r>
      <w:r w:rsidR="00F90981">
        <w:rPr>
          <w:snapToGrid w:val="0"/>
          <w:lang w:val="da-DK"/>
        </w:rPr>
        <w:t>bevacizumab</w:t>
      </w:r>
      <w:r w:rsidRPr="001278B6">
        <w:rPr>
          <w:snapToGrid w:val="0"/>
          <w:lang w:val="da-DK"/>
        </w:rPr>
        <w:t xml:space="preserve"> + IFN alfa</w:t>
      </w:r>
      <w:r w:rsidR="004B3750">
        <w:rPr>
          <w:snapToGrid w:val="0"/>
          <w:lang w:val="da-DK"/>
        </w:rPr>
        <w:noBreakHyphen/>
      </w:r>
      <w:r w:rsidRPr="001278B6">
        <w:rPr>
          <w:snapToGrid w:val="0"/>
          <w:lang w:val="da-DK"/>
        </w:rPr>
        <w:t>2a.</w:t>
      </w:r>
    </w:p>
    <w:p w14:paraId="208E7DAD" w14:textId="77777777" w:rsidR="003563EF" w:rsidRPr="001278B6" w:rsidRDefault="003563EF" w:rsidP="001278B6">
      <w:pPr>
        <w:pStyle w:val="a3"/>
        <w:widowControl/>
        <w:adjustRightInd w:val="0"/>
        <w:snapToGrid w:val="0"/>
        <w:rPr>
          <w:snapToGrid w:val="0"/>
          <w:lang w:val="da-DK"/>
        </w:rPr>
      </w:pPr>
    </w:p>
    <w:p w14:paraId="15780A30"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AVF2938</w:t>
      </w:r>
    </w:p>
    <w:p w14:paraId="392B9556" w14:textId="77777777" w:rsidR="003563EF" w:rsidRPr="001278B6" w:rsidRDefault="00473235" w:rsidP="001278B6">
      <w:pPr>
        <w:pStyle w:val="a3"/>
        <w:widowControl/>
        <w:adjustRightInd w:val="0"/>
        <w:snapToGrid w:val="0"/>
        <w:rPr>
          <w:snapToGrid w:val="0"/>
          <w:lang w:val="da-DK"/>
        </w:rPr>
      </w:pPr>
      <w:r w:rsidRPr="001278B6">
        <w:rPr>
          <w:snapToGrid w:val="0"/>
          <w:lang w:val="da-DK"/>
        </w:rPr>
        <w:t>Dette var et randomiseret, dobbeltblindet, fase II</w:t>
      </w:r>
      <w:r w:rsidR="004B3750">
        <w:rPr>
          <w:snapToGrid w:val="0"/>
          <w:lang w:val="da-DK"/>
        </w:rPr>
        <w:noBreakHyphen/>
      </w:r>
      <w:r w:rsidRPr="001278B6">
        <w:rPr>
          <w:snapToGrid w:val="0"/>
          <w:lang w:val="da-DK"/>
        </w:rPr>
        <w:t xml:space="preserve">klinisk studie, som undersøgte </w:t>
      </w:r>
      <w:r w:rsidR="00F90981">
        <w:rPr>
          <w:snapToGrid w:val="0"/>
          <w:lang w:val="da-DK"/>
        </w:rPr>
        <w:t>bevacizumab</w:t>
      </w:r>
      <w:r w:rsidRPr="001278B6">
        <w:rPr>
          <w:snapToGrid w:val="0"/>
          <w:lang w:val="da-DK"/>
        </w:rPr>
        <w:t xml:space="preserve"> 10</w:t>
      </w:r>
      <w:r w:rsidR="0074036C">
        <w:rPr>
          <w:snapToGrid w:val="0"/>
          <w:lang w:val="da-DK"/>
        </w:rPr>
        <w:t> mg</w:t>
      </w:r>
      <w:r w:rsidRPr="001278B6">
        <w:rPr>
          <w:snapToGrid w:val="0"/>
          <w:lang w:val="da-DK"/>
        </w:rPr>
        <w:t xml:space="preserve">/kg hver 2. uge i forhold til </w:t>
      </w:r>
      <w:r w:rsidR="00F90981">
        <w:rPr>
          <w:snapToGrid w:val="0"/>
          <w:lang w:val="da-DK"/>
        </w:rPr>
        <w:t>bevacizumab</w:t>
      </w:r>
      <w:r w:rsidRPr="001278B6">
        <w:rPr>
          <w:snapToGrid w:val="0"/>
          <w:lang w:val="da-DK"/>
        </w:rPr>
        <w:t xml:space="preserve"> i samme dosis i kombination med 150</w:t>
      </w:r>
      <w:r w:rsidR="0074036C">
        <w:rPr>
          <w:snapToGrid w:val="0"/>
          <w:lang w:val="da-DK"/>
        </w:rPr>
        <w:t> mg</w:t>
      </w:r>
      <w:r w:rsidRPr="001278B6">
        <w:rPr>
          <w:snapToGrid w:val="0"/>
          <w:lang w:val="da-DK"/>
        </w:rPr>
        <w:t xml:space="preserve"> erlotinib dagligt til patienter med metastatisk clear cell RCC. I alt blev 104 patienter randomiseret til behandling i dette studie; 53 til </w:t>
      </w:r>
      <w:r w:rsidR="00F90981">
        <w:rPr>
          <w:snapToGrid w:val="0"/>
          <w:lang w:val="da-DK"/>
        </w:rPr>
        <w:t>bevacizumab</w:t>
      </w:r>
      <w:r w:rsidRPr="001278B6">
        <w:rPr>
          <w:snapToGrid w:val="0"/>
          <w:lang w:val="da-DK"/>
        </w:rPr>
        <w:t xml:space="preserve"> 10 mg/kg hver 2. uge plus placebo og 51 til </w:t>
      </w:r>
      <w:r w:rsidR="00F90981">
        <w:rPr>
          <w:snapToGrid w:val="0"/>
          <w:lang w:val="da-DK"/>
        </w:rPr>
        <w:t>bevacizumab</w:t>
      </w:r>
      <w:r w:rsidRPr="001278B6">
        <w:rPr>
          <w:snapToGrid w:val="0"/>
          <w:lang w:val="da-DK"/>
        </w:rPr>
        <w:t xml:space="preserve"> 10</w:t>
      </w:r>
      <w:r w:rsidR="0074036C">
        <w:rPr>
          <w:snapToGrid w:val="0"/>
          <w:lang w:val="da-DK"/>
        </w:rPr>
        <w:t> mg</w:t>
      </w:r>
      <w:r w:rsidRPr="001278B6">
        <w:rPr>
          <w:snapToGrid w:val="0"/>
          <w:lang w:val="da-DK"/>
        </w:rPr>
        <w:t>/kg hver 2. uge plus erlotinib 150</w:t>
      </w:r>
      <w:r w:rsidR="0074036C">
        <w:rPr>
          <w:snapToGrid w:val="0"/>
          <w:lang w:val="da-DK"/>
        </w:rPr>
        <w:t> mg</w:t>
      </w:r>
      <w:r w:rsidRPr="001278B6">
        <w:rPr>
          <w:snapToGrid w:val="0"/>
          <w:lang w:val="da-DK"/>
        </w:rPr>
        <w:t xml:space="preserve"> dagligt. Analysen af primært endepunkt viste ingen forskel mellem </w:t>
      </w:r>
      <w:r w:rsidR="00F90981">
        <w:rPr>
          <w:snapToGrid w:val="0"/>
          <w:lang w:val="da-DK"/>
        </w:rPr>
        <w:t>bevacizumab</w:t>
      </w:r>
      <w:r w:rsidRPr="001278B6">
        <w:rPr>
          <w:snapToGrid w:val="0"/>
          <w:lang w:val="da-DK"/>
        </w:rPr>
        <w:t xml:space="preserve"> + placeboarmen og </w:t>
      </w:r>
      <w:r w:rsidR="00F90981">
        <w:rPr>
          <w:snapToGrid w:val="0"/>
          <w:lang w:val="da-DK"/>
        </w:rPr>
        <w:t>bevacizumab</w:t>
      </w:r>
      <w:r w:rsidRPr="001278B6">
        <w:rPr>
          <w:snapToGrid w:val="0"/>
          <w:lang w:val="da-DK"/>
        </w:rPr>
        <w:t xml:space="preserve"> + erlotinib</w:t>
      </w:r>
      <w:r w:rsidR="004B3750">
        <w:rPr>
          <w:snapToGrid w:val="0"/>
          <w:lang w:val="da-DK"/>
        </w:rPr>
        <w:noBreakHyphen/>
      </w:r>
      <w:r w:rsidRPr="001278B6">
        <w:rPr>
          <w:snapToGrid w:val="0"/>
          <w:lang w:val="da-DK"/>
        </w:rPr>
        <w:t xml:space="preserve">armen (median progressionsfri overlevelse 8,5 </w:t>
      </w:r>
      <w:r w:rsidRPr="001278B6">
        <w:rPr>
          <w:i/>
          <w:snapToGrid w:val="0"/>
          <w:lang w:val="da-DK"/>
        </w:rPr>
        <w:t xml:space="preserve">vs </w:t>
      </w:r>
      <w:r w:rsidRPr="001278B6">
        <w:rPr>
          <w:snapToGrid w:val="0"/>
          <w:lang w:val="da-DK"/>
        </w:rPr>
        <w:t>9,9 måneder). Syv patienter i hver arm viste objektiv respons. Tillæg af erlotinib til bevacizumab resulterede ikke i forbedring af</w:t>
      </w:r>
      <w:r w:rsidR="00105256">
        <w:rPr>
          <w:snapToGrid w:val="0"/>
          <w:lang w:val="da-DK"/>
        </w:rPr>
        <w:t xml:space="preserve"> </w:t>
      </w:r>
      <w:r w:rsidRPr="001278B6">
        <w:rPr>
          <w:snapToGrid w:val="0"/>
          <w:lang w:val="da-DK"/>
        </w:rPr>
        <w:t xml:space="preserve">den samlede overlevelse (HR = 1,764; p = 0,1789), varighed af objektiv respons (6,7 </w:t>
      </w:r>
      <w:r w:rsidRPr="001278B6">
        <w:rPr>
          <w:i/>
          <w:snapToGrid w:val="0"/>
          <w:lang w:val="da-DK"/>
        </w:rPr>
        <w:t xml:space="preserve">vs </w:t>
      </w:r>
      <w:r w:rsidRPr="001278B6">
        <w:rPr>
          <w:snapToGrid w:val="0"/>
          <w:lang w:val="da-DK"/>
        </w:rPr>
        <w:t>9,1 måneder) eller tid til progession af symptomer (HR = 1,172; p = 0,5076).</w:t>
      </w:r>
    </w:p>
    <w:p w14:paraId="580CE7C9" w14:textId="77777777" w:rsidR="003563EF" w:rsidRPr="001278B6" w:rsidRDefault="003563EF" w:rsidP="001278B6">
      <w:pPr>
        <w:pStyle w:val="a3"/>
        <w:widowControl/>
        <w:adjustRightInd w:val="0"/>
        <w:snapToGrid w:val="0"/>
        <w:rPr>
          <w:snapToGrid w:val="0"/>
          <w:lang w:val="da-DK"/>
        </w:rPr>
      </w:pPr>
    </w:p>
    <w:p w14:paraId="0224DC98"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AVF0890</w:t>
      </w:r>
    </w:p>
    <w:p w14:paraId="5B2F6D23" w14:textId="77777777" w:rsidR="003563EF" w:rsidRPr="001278B6" w:rsidRDefault="00473235">
      <w:pPr>
        <w:pStyle w:val="a3"/>
        <w:widowControl/>
        <w:adjustRightInd w:val="0"/>
        <w:snapToGrid w:val="0"/>
        <w:rPr>
          <w:snapToGrid w:val="0"/>
          <w:lang w:val="da-DK"/>
        </w:rPr>
      </w:pPr>
      <w:r w:rsidRPr="001278B6">
        <w:rPr>
          <w:snapToGrid w:val="0"/>
          <w:lang w:val="da-DK"/>
        </w:rPr>
        <w:t>Dette var et randomiseret fase II</w:t>
      </w:r>
      <w:r w:rsidR="004B3750">
        <w:rPr>
          <w:snapToGrid w:val="0"/>
          <w:lang w:val="da-DK"/>
        </w:rPr>
        <w:noBreakHyphen/>
      </w:r>
      <w:r w:rsidRPr="001278B6">
        <w:rPr>
          <w:snapToGrid w:val="0"/>
          <w:lang w:val="da-DK"/>
        </w:rPr>
        <w:t xml:space="preserve">studie, der blev udført for at sammenligne effekt og sikkerhed af bevacizumab </w:t>
      </w:r>
      <w:r w:rsidRPr="001278B6">
        <w:rPr>
          <w:i/>
          <w:snapToGrid w:val="0"/>
          <w:lang w:val="da-DK"/>
        </w:rPr>
        <w:t xml:space="preserve">vs </w:t>
      </w:r>
      <w:r w:rsidRPr="001278B6">
        <w:rPr>
          <w:snapToGrid w:val="0"/>
          <w:lang w:val="da-DK"/>
        </w:rPr>
        <w:t>placebo. Et samlet antal på 116 patienter blev randomiseret til at få bevacizumab 3</w:t>
      </w:r>
      <w:r w:rsidR="003548BC">
        <w:rPr>
          <w:snapToGrid w:val="0"/>
          <w:lang w:val="da-DK"/>
        </w:rPr>
        <w:t> </w:t>
      </w:r>
      <w:r w:rsidRPr="001278B6">
        <w:rPr>
          <w:snapToGrid w:val="0"/>
          <w:lang w:val="da-DK"/>
        </w:rPr>
        <w:t>mg/kg hver 2. uge (n=39); 10</w:t>
      </w:r>
      <w:r w:rsidR="0074036C">
        <w:rPr>
          <w:snapToGrid w:val="0"/>
          <w:lang w:val="da-DK"/>
        </w:rPr>
        <w:t> mg</w:t>
      </w:r>
      <w:r w:rsidRPr="001278B6">
        <w:rPr>
          <w:snapToGrid w:val="0"/>
          <w:lang w:val="da-DK"/>
        </w:rPr>
        <w:t>/kg hver 2. uge (n=37) eller placebo (n=40). En interim analyse</w:t>
      </w:r>
      <w:r w:rsidR="00B121CB">
        <w:rPr>
          <w:snapToGrid w:val="0"/>
          <w:lang w:val="da-DK"/>
        </w:rPr>
        <w:t xml:space="preserve"> </w:t>
      </w:r>
      <w:r w:rsidRPr="001278B6">
        <w:rPr>
          <w:snapToGrid w:val="0"/>
          <w:lang w:val="da-DK"/>
        </w:rPr>
        <w:lastRenderedPageBreak/>
        <w:t>viste, at der var signifikant forlængelse af tid til progression af sygdom for 10</w:t>
      </w:r>
      <w:r w:rsidR="0074036C">
        <w:rPr>
          <w:snapToGrid w:val="0"/>
          <w:lang w:val="da-DK"/>
        </w:rPr>
        <w:t> mg</w:t>
      </w:r>
      <w:r w:rsidRPr="001278B6">
        <w:rPr>
          <w:snapToGrid w:val="0"/>
          <w:lang w:val="da-DK"/>
        </w:rPr>
        <w:t>/kg gruppen i forhold til placebogruppen (</w:t>
      </w:r>
      <w:r w:rsidRPr="001278B6">
        <w:rPr>
          <w:i/>
          <w:snapToGrid w:val="0"/>
          <w:lang w:val="da-DK"/>
        </w:rPr>
        <w:t xml:space="preserve">hazard </w:t>
      </w:r>
      <w:r w:rsidRPr="001278B6">
        <w:rPr>
          <w:snapToGrid w:val="0"/>
          <w:lang w:val="da-DK"/>
        </w:rPr>
        <w:t>ratio, 2,55; p &lt; 0,001). Der var en lille forskel, med ubetydelige signifikans, mellem tid til progression af sygdom i gruppen behandlet med 3</w:t>
      </w:r>
      <w:r w:rsidR="0074036C">
        <w:rPr>
          <w:snapToGrid w:val="0"/>
          <w:lang w:val="da-DK"/>
        </w:rPr>
        <w:t> mg</w:t>
      </w:r>
      <w:r w:rsidRPr="001278B6">
        <w:rPr>
          <w:snapToGrid w:val="0"/>
          <w:lang w:val="da-DK"/>
        </w:rPr>
        <w:t>/kg i forhold til placebogruppen (</w:t>
      </w:r>
      <w:r w:rsidRPr="001278B6">
        <w:rPr>
          <w:i/>
          <w:snapToGrid w:val="0"/>
          <w:lang w:val="da-DK"/>
        </w:rPr>
        <w:t xml:space="preserve">hazard </w:t>
      </w:r>
      <w:r w:rsidRPr="001278B6">
        <w:rPr>
          <w:snapToGrid w:val="0"/>
          <w:lang w:val="da-DK"/>
        </w:rPr>
        <w:t>ratio, 1,26; p = 0,053). Fire patienter viste objektiv (partiel) respons og alle de patienter modtog 10</w:t>
      </w:r>
      <w:r w:rsidR="0074036C">
        <w:rPr>
          <w:snapToGrid w:val="0"/>
          <w:lang w:val="da-DK"/>
        </w:rPr>
        <w:t> mg</w:t>
      </w:r>
      <w:r w:rsidRPr="001278B6">
        <w:rPr>
          <w:snapToGrid w:val="0"/>
          <w:lang w:val="da-DK"/>
        </w:rPr>
        <w:t>/kg bevacizumab; samlet responsrate for 10</w:t>
      </w:r>
      <w:r w:rsidR="0074036C">
        <w:rPr>
          <w:snapToGrid w:val="0"/>
          <w:lang w:val="da-DK"/>
        </w:rPr>
        <w:t> mg</w:t>
      </w:r>
      <w:r w:rsidRPr="001278B6">
        <w:rPr>
          <w:snapToGrid w:val="0"/>
          <w:lang w:val="da-DK"/>
        </w:rPr>
        <w:t>/kg var 10 %.</w:t>
      </w:r>
    </w:p>
    <w:p w14:paraId="457AC137" w14:textId="77777777" w:rsidR="003563EF" w:rsidRPr="001278B6" w:rsidRDefault="003563EF" w:rsidP="001278B6">
      <w:pPr>
        <w:pStyle w:val="a3"/>
        <w:widowControl/>
        <w:adjustRightInd w:val="0"/>
        <w:snapToGrid w:val="0"/>
        <w:rPr>
          <w:snapToGrid w:val="0"/>
          <w:lang w:val="da-DK"/>
        </w:rPr>
      </w:pPr>
    </w:p>
    <w:p w14:paraId="1153423C" w14:textId="77777777" w:rsidR="003563EF" w:rsidRPr="001278B6" w:rsidRDefault="00473235" w:rsidP="001278B6">
      <w:pPr>
        <w:keepNext/>
        <w:keepLines/>
        <w:widowControl/>
        <w:adjustRightInd w:val="0"/>
        <w:snapToGrid w:val="0"/>
        <w:jc w:val="both"/>
        <w:rPr>
          <w:i/>
          <w:snapToGrid w:val="0"/>
          <w:lang w:val="da-DK"/>
        </w:rPr>
      </w:pPr>
      <w:r w:rsidRPr="001278B6">
        <w:rPr>
          <w:i/>
          <w:snapToGrid w:val="0"/>
          <w:u w:val="single"/>
          <w:lang w:val="da-DK"/>
        </w:rPr>
        <w:t>Epitelial ovariecancer, tubacancer og primær peritonealcancer</w:t>
      </w:r>
    </w:p>
    <w:p w14:paraId="4220B6D0" w14:textId="77777777" w:rsidR="003563EF" w:rsidRPr="001278B6" w:rsidRDefault="003563EF" w:rsidP="001278B6">
      <w:pPr>
        <w:pStyle w:val="a3"/>
        <w:keepNext/>
        <w:keepLines/>
        <w:widowControl/>
        <w:adjustRightInd w:val="0"/>
        <w:snapToGrid w:val="0"/>
        <w:rPr>
          <w:i/>
          <w:snapToGrid w:val="0"/>
          <w:lang w:val="da-DK"/>
        </w:rPr>
      </w:pPr>
    </w:p>
    <w:p w14:paraId="7C121A2F"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Frontlinjebehandling af ovariecancer</w:t>
      </w:r>
    </w:p>
    <w:p w14:paraId="5D8367FF" w14:textId="77777777" w:rsidR="003563EF" w:rsidRPr="001278B6" w:rsidRDefault="003563EF" w:rsidP="001278B6">
      <w:pPr>
        <w:pStyle w:val="a3"/>
        <w:keepNext/>
        <w:keepLines/>
        <w:widowControl/>
        <w:adjustRightInd w:val="0"/>
        <w:snapToGrid w:val="0"/>
        <w:rPr>
          <w:i/>
          <w:snapToGrid w:val="0"/>
          <w:lang w:val="da-DK"/>
        </w:rPr>
      </w:pPr>
    </w:p>
    <w:p w14:paraId="1539834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Effekten og sikkerheden af </w:t>
      </w:r>
      <w:r w:rsidR="00C805DA">
        <w:rPr>
          <w:snapToGrid w:val="0"/>
          <w:lang w:val="da-DK"/>
        </w:rPr>
        <w:t>bevacizumab</w:t>
      </w:r>
      <w:r w:rsidRPr="001278B6">
        <w:rPr>
          <w:snapToGrid w:val="0"/>
          <w:lang w:val="da-DK"/>
        </w:rPr>
        <w:t xml:space="preserve"> i frontlinjebehandling af patienter med epitelial ovariecancer, tubacancer eller primær peritonealcancer blev undersøgt i to fase III</w:t>
      </w:r>
      <w:r w:rsidR="004B3750">
        <w:rPr>
          <w:snapToGrid w:val="0"/>
          <w:lang w:val="da-DK"/>
        </w:rPr>
        <w:noBreakHyphen/>
      </w:r>
      <w:r w:rsidRPr="001278B6">
        <w:rPr>
          <w:snapToGrid w:val="0"/>
          <w:lang w:val="da-DK"/>
        </w:rPr>
        <w:t>studier (GOG</w:t>
      </w:r>
      <w:r w:rsidR="004B3750">
        <w:rPr>
          <w:snapToGrid w:val="0"/>
          <w:lang w:val="da-DK"/>
        </w:rPr>
        <w:noBreakHyphen/>
      </w:r>
      <w:r w:rsidRPr="001278B6">
        <w:rPr>
          <w:snapToGrid w:val="0"/>
          <w:lang w:val="da-DK"/>
        </w:rPr>
        <w:t xml:space="preserve">0218 og BO17707). Studierne evaluerede effekten af tillæg af </w:t>
      </w:r>
      <w:r w:rsidR="00C805DA">
        <w:rPr>
          <w:snapToGrid w:val="0"/>
          <w:lang w:val="da-DK"/>
        </w:rPr>
        <w:t>bevacizumab</w:t>
      </w:r>
      <w:r w:rsidRPr="001278B6">
        <w:rPr>
          <w:snapToGrid w:val="0"/>
          <w:lang w:val="da-DK"/>
        </w:rPr>
        <w:t xml:space="preserve"> til carboplatin og paclitaxel sammenlignet med kemoterapiregimet alene.</w:t>
      </w:r>
    </w:p>
    <w:p w14:paraId="5A6DBB8A" w14:textId="77777777" w:rsidR="003563EF" w:rsidRPr="001278B6" w:rsidRDefault="003563EF" w:rsidP="001278B6">
      <w:pPr>
        <w:pStyle w:val="a3"/>
        <w:widowControl/>
        <w:adjustRightInd w:val="0"/>
        <w:snapToGrid w:val="0"/>
        <w:rPr>
          <w:snapToGrid w:val="0"/>
          <w:lang w:val="da-DK"/>
        </w:rPr>
      </w:pPr>
    </w:p>
    <w:p w14:paraId="3EC0964B"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GOG</w:t>
      </w:r>
      <w:r w:rsidR="004B3750">
        <w:rPr>
          <w:i/>
          <w:snapToGrid w:val="0"/>
          <w:lang w:val="da-DK"/>
        </w:rPr>
        <w:noBreakHyphen/>
      </w:r>
      <w:r w:rsidRPr="001278B6">
        <w:rPr>
          <w:i/>
          <w:snapToGrid w:val="0"/>
          <w:lang w:val="da-DK"/>
        </w:rPr>
        <w:t>0218</w:t>
      </w:r>
    </w:p>
    <w:p w14:paraId="7D528A11" w14:textId="77777777" w:rsidR="003563EF" w:rsidRPr="001278B6" w:rsidRDefault="00473235" w:rsidP="001278B6">
      <w:pPr>
        <w:pStyle w:val="a3"/>
        <w:widowControl/>
        <w:adjustRightInd w:val="0"/>
        <w:snapToGrid w:val="0"/>
        <w:rPr>
          <w:snapToGrid w:val="0"/>
          <w:lang w:val="da-DK"/>
        </w:rPr>
      </w:pPr>
      <w:r w:rsidRPr="001278B6">
        <w:rPr>
          <w:snapToGrid w:val="0"/>
          <w:lang w:val="da-DK"/>
        </w:rPr>
        <w:t>GOG</w:t>
      </w:r>
      <w:r w:rsidR="004B3750">
        <w:rPr>
          <w:snapToGrid w:val="0"/>
          <w:lang w:val="da-DK"/>
        </w:rPr>
        <w:noBreakHyphen/>
      </w:r>
      <w:r w:rsidRPr="001278B6">
        <w:rPr>
          <w:snapToGrid w:val="0"/>
          <w:lang w:val="da-DK"/>
        </w:rPr>
        <w:t>0218 var et fase III, multicenter, randomiseret, dobbeltblindet, placebokontrolleret, tre</w:t>
      </w:r>
      <w:r w:rsidR="004B3750">
        <w:rPr>
          <w:snapToGrid w:val="0"/>
          <w:lang w:val="da-DK"/>
        </w:rPr>
        <w:noBreakHyphen/>
      </w:r>
      <w:r w:rsidRPr="001278B6">
        <w:rPr>
          <w:snapToGrid w:val="0"/>
          <w:lang w:val="da-DK"/>
        </w:rPr>
        <w:t xml:space="preserve">armet studie, som evaluerede effekten af tillæg af </w:t>
      </w:r>
      <w:r w:rsidR="00C805DA">
        <w:rPr>
          <w:snapToGrid w:val="0"/>
          <w:lang w:val="da-DK"/>
        </w:rPr>
        <w:t>bevacizumab</w:t>
      </w:r>
      <w:r w:rsidRPr="001278B6">
        <w:rPr>
          <w:snapToGrid w:val="0"/>
          <w:lang w:val="da-DK"/>
        </w:rPr>
        <w:t xml:space="preserve"> til et godkendt kemoterapiregime (carboplatin og paclitacxel) hos patienter med fremskreden (Stadie III B, III C og IV ifølge FIGO stadieinddeling version 1988) epitelial ovariecancer, tubacancer eller primær peritonealcancer.</w:t>
      </w:r>
    </w:p>
    <w:p w14:paraId="6287B1AC" w14:textId="77777777" w:rsidR="003563EF" w:rsidRPr="001278B6" w:rsidRDefault="00473235" w:rsidP="001278B6">
      <w:pPr>
        <w:pStyle w:val="a3"/>
        <w:widowControl/>
        <w:adjustRightInd w:val="0"/>
        <w:snapToGrid w:val="0"/>
        <w:rPr>
          <w:snapToGrid w:val="0"/>
          <w:lang w:val="da-DK"/>
        </w:rPr>
      </w:pPr>
      <w:r w:rsidRPr="001278B6">
        <w:rPr>
          <w:snapToGrid w:val="0"/>
          <w:lang w:val="da-DK"/>
        </w:rPr>
        <w:t>Patienter, som tidligere var behandlet med bevacizumab eller tidligere havde fået systemisk anticancerbehandling for ovariecancer (f.eks. kemoterapi, behandling med monoklonale antistoffer, behandling med tyrosinkinasehæmmer eller hormonbehandling), eller som tidligere havde fået strålebehandling af abdomen eller bækken, blev ekskluderet fra studiet.</w:t>
      </w:r>
    </w:p>
    <w:p w14:paraId="0AB80B4C" w14:textId="77777777" w:rsidR="003563EF" w:rsidRPr="001278B6" w:rsidRDefault="003563EF" w:rsidP="001278B6">
      <w:pPr>
        <w:pStyle w:val="a3"/>
        <w:widowControl/>
        <w:adjustRightInd w:val="0"/>
        <w:snapToGrid w:val="0"/>
        <w:rPr>
          <w:snapToGrid w:val="0"/>
          <w:lang w:val="da-DK"/>
        </w:rPr>
      </w:pPr>
    </w:p>
    <w:p w14:paraId="51962718" w14:textId="77777777" w:rsidR="003563EF" w:rsidRPr="001278B6" w:rsidRDefault="00473235" w:rsidP="001278B6">
      <w:pPr>
        <w:pStyle w:val="a3"/>
        <w:widowControl/>
        <w:adjustRightInd w:val="0"/>
        <w:snapToGrid w:val="0"/>
        <w:rPr>
          <w:snapToGrid w:val="0"/>
          <w:lang w:val="da-DK"/>
        </w:rPr>
      </w:pPr>
      <w:r w:rsidRPr="001278B6">
        <w:rPr>
          <w:snapToGrid w:val="0"/>
          <w:lang w:val="da-DK"/>
        </w:rPr>
        <w:t>Sammenlagt blev 1.873 patienter randomiseret til tre lige store arme:</w:t>
      </w:r>
    </w:p>
    <w:p w14:paraId="08669E50" w14:textId="77777777" w:rsidR="003563EF" w:rsidRPr="001278B6" w:rsidRDefault="003563EF" w:rsidP="001278B6">
      <w:pPr>
        <w:pStyle w:val="a3"/>
        <w:widowControl/>
        <w:adjustRightInd w:val="0"/>
        <w:snapToGrid w:val="0"/>
        <w:rPr>
          <w:snapToGrid w:val="0"/>
          <w:lang w:val="da-DK"/>
        </w:rPr>
      </w:pPr>
    </w:p>
    <w:p w14:paraId="63D40753" w14:textId="77777777" w:rsidR="003563EF" w:rsidRPr="001278B6" w:rsidRDefault="00473235" w:rsidP="001278B6">
      <w:pPr>
        <w:pStyle w:val="Bullet1"/>
        <w:widowControl/>
        <w:rPr>
          <w:lang w:val="da-DK"/>
        </w:rPr>
      </w:pPr>
      <w:r w:rsidRPr="001278B6">
        <w:rPr>
          <w:lang w:val="da-DK"/>
        </w:rPr>
        <w:t>CPP</w:t>
      </w:r>
      <w:r w:rsidR="004B3750">
        <w:rPr>
          <w:lang w:val="da-DK"/>
        </w:rPr>
        <w:noBreakHyphen/>
      </w:r>
      <w:r w:rsidRPr="001278B6">
        <w:rPr>
          <w:lang w:val="da-DK"/>
        </w:rPr>
        <w:t>arm: Fem serier af placebo (startende i serie 2) i kombination med carboplatin (AUC 6) og paclitaxel (175</w:t>
      </w:r>
      <w:r w:rsidR="005279CC">
        <w:rPr>
          <w:lang w:val="da-DK"/>
        </w:rPr>
        <w:t> mg</w:t>
      </w:r>
      <w:r w:rsidRPr="001278B6">
        <w:rPr>
          <w:lang w:val="da-DK"/>
        </w:rPr>
        <w:t>/m</w:t>
      </w:r>
      <w:r w:rsidRPr="001278B6">
        <w:rPr>
          <w:vertAlign w:val="superscript"/>
          <w:lang w:val="da-DK"/>
        </w:rPr>
        <w:t>2</w:t>
      </w:r>
      <w:r w:rsidRPr="001278B6">
        <w:rPr>
          <w:lang w:val="da-DK"/>
        </w:rPr>
        <w:t>) i 6 serier, efterfulgt af placebo alene, i op til sammenlagt 15 måneders behandling</w:t>
      </w:r>
    </w:p>
    <w:p w14:paraId="5829F80F" w14:textId="77777777" w:rsidR="003563EF" w:rsidRPr="001278B6" w:rsidRDefault="00473235" w:rsidP="001278B6">
      <w:pPr>
        <w:pStyle w:val="Bullet1"/>
        <w:widowControl/>
        <w:rPr>
          <w:lang w:val="da-DK"/>
        </w:rPr>
      </w:pPr>
      <w:r w:rsidRPr="001278B6">
        <w:rPr>
          <w:lang w:val="da-DK"/>
        </w:rPr>
        <w:t>CPB15</w:t>
      </w:r>
      <w:r w:rsidR="004B3750">
        <w:rPr>
          <w:lang w:val="da-DK"/>
        </w:rPr>
        <w:noBreakHyphen/>
      </w:r>
      <w:r w:rsidRPr="001278B6">
        <w:rPr>
          <w:lang w:val="da-DK"/>
        </w:rPr>
        <w:t xml:space="preserve">arm: Fem serier af </w:t>
      </w:r>
      <w:r w:rsidR="00C805DA">
        <w:rPr>
          <w:lang w:val="da-DK"/>
        </w:rPr>
        <w:t>bevacizumab</w:t>
      </w:r>
      <w:r w:rsidRPr="001278B6">
        <w:rPr>
          <w:lang w:val="da-DK"/>
        </w:rPr>
        <w:t xml:space="preserve"> (15</w:t>
      </w:r>
      <w:r w:rsidR="005279CC">
        <w:rPr>
          <w:lang w:val="da-DK"/>
        </w:rPr>
        <w:t> mg</w:t>
      </w:r>
      <w:r w:rsidRPr="001278B6">
        <w:rPr>
          <w:lang w:val="da-DK"/>
        </w:rPr>
        <w:t>/kg hver 3. uge startende i serie 2) i kombination med carboplatin (AUC 6) og paclitaxel (175</w:t>
      </w:r>
      <w:r w:rsidR="005279CC">
        <w:rPr>
          <w:lang w:val="da-DK"/>
        </w:rPr>
        <w:t> mg</w:t>
      </w:r>
      <w:r w:rsidRPr="001278B6">
        <w:rPr>
          <w:lang w:val="da-DK"/>
        </w:rPr>
        <w:t>/m</w:t>
      </w:r>
      <w:r w:rsidRPr="001278B6">
        <w:rPr>
          <w:vertAlign w:val="superscript"/>
          <w:lang w:val="da-DK"/>
        </w:rPr>
        <w:t>2</w:t>
      </w:r>
      <w:r w:rsidRPr="001278B6">
        <w:rPr>
          <w:lang w:val="da-DK"/>
        </w:rPr>
        <w:t>) i 6 serier, efterfulgt af placebo alene, i op til sammenlagt 15 måneders behandling</w:t>
      </w:r>
    </w:p>
    <w:p w14:paraId="5D1E296B" w14:textId="77777777" w:rsidR="003563EF" w:rsidRPr="001278B6" w:rsidRDefault="00473235" w:rsidP="001278B6">
      <w:pPr>
        <w:pStyle w:val="Bullet1"/>
        <w:widowControl/>
        <w:rPr>
          <w:lang w:val="da-DK"/>
        </w:rPr>
      </w:pPr>
      <w:r w:rsidRPr="001278B6">
        <w:rPr>
          <w:lang w:val="da-DK"/>
        </w:rPr>
        <w:t>CBP15+</w:t>
      </w:r>
      <w:r w:rsidR="004B3750">
        <w:rPr>
          <w:lang w:val="da-DK"/>
        </w:rPr>
        <w:noBreakHyphen/>
      </w:r>
      <w:r w:rsidRPr="001278B6">
        <w:rPr>
          <w:lang w:val="da-DK"/>
        </w:rPr>
        <w:t xml:space="preserve">arm: Fem serier af </w:t>
      </w:r>
      <w:r w:rsidR="00C805DA">
        <w:rPr>
          <w:lang w:val="da-DK"/>
        </w:rPr>
        <w:t>bevacizumab</w:t>
      </w:r>
      <w:r w:rsidRPr="001278B6">
        <w:rPr>
          <w:lang w:val="da-DK"/>
        </w:rPr>
        <w:t xml:space="preserve"> (15</w:t>
      </w:r>
      <w:r w:rsidR="005279CC">
        <w:rPr>
          <w:lang w:val="da-DK"/>
        </w:rPr>
        <w:t> mg</w:t>
      </w:r>
      <w:r w:rsidRPr="001278B6">
        <w:rPr>
          <w:lang w:val="da-DK"/>
        </w:rPr>
        <w:t>/kg hver 3. uge startende i serie 2) i kombination med carboplatin (AUC 6) og paclitaxel (175</w:t>
      </w:r>
      <w:r w:rsidR="005279CC">
        <w:rPr>
          <w:lang w:val="da-DK"/>
        </w:rPr>
        <w:t> mg</w:t>
      </w:r>
      <w:r w:rsidRPr="001278B6">
        <w:rPr>
          <w:lang w:val="da-DK"/>
        </w:rPr>
        <w:t>/m</w:t>
      </w:r>
      <w:r w:rsidRPr="001278B6">
        <w:rPr>
          <w:vertAlign w:val="superscript"/>
          <w:lang w:val="da-DK"/>
        </w:rPr>
        <w:t>2</w:t>
      </w:r>
      <w:r w:rsidRPr="001278B6">
        <w:rPr>
          <w:lang w:val="da-DK"/>
        </w:rPr>
        <w:t xml:space="preserve">) i 6 serier, efterfulgt af fortsat behandling med </w:t>
      </w:r>
      <w:r w:rsidR="00C805DA">
        <w:rPr>
          <w:lang w:val="da-DK"/>
        </w:rPr>
        <w:t>bevacizumab</w:t>
      </w:r>
      <w:r w:rsidRPr="001278B6">
        <w:rPr>
          <w:lang w:val="da-DK"/>
        </w:rPr>
        <w:t xml:space="preserve"> (15</w:t>
      </w:r>
      <w:r w:rsidR="005279CC">
        <w:rPr>
          <w:lang w:val="da-DK"/>
        </w:rPr>
        <w:t> mg</w:t>
      </w:r>
      <w:r w:rsidRPr="001278B6">
        <w:rPr>
          <w:lang w:val="da-DK"/>
        </w:rPr>
        <w:t>/kg hver 3. uge) som monoterapi, i op til sammenlagt 15 måneders behandling.</w:t>
      </w:r>
    </w:p>
    <w:p w14:paraId="6927E322" w14:textId="77777777" w:rsidR="003563EF" w:rsidRPr="001278B6" w:rsidRDefault="003563EF" w:rsidP="001278B6">
      <w:pPr>
        <w:pStyle w:val="a3"/>
        <w:widowControl/>
        <w:adjustRightInd w:val="0"/>
        <w:snapToGrid w:val="0"/>
        <w:rPr>
          <w:snapToGrid w:val="0"/>
          <w:lang w:val="da-DK"/>
        </w:rPr>
      </w:pPr>
    </w:p>
    <w:p w14:paraId="3A417375" w14:textId="77777777" w:rsidR="003563EF" w:rsidRPr="001278B6" w:rsidRDefault="00473235" w:rsidP="001278B6">
      <w:pPr>
        <w:pStyle w:val="a3"/>
        <w:widowControl/>
        <w:adjustRightInd w:val="0"/>
        <w:snapToGrid w:val="0"/>
        <w:rPr>
          <w:snapToGrid w:val="0"/>
          <w:lang w:val="da-DK"/>
        </w:rPr>
      </w:pPr>
      <w:r w:rsidRPr="001278B6">
        <w:rPr>
          <w:snapToGrid w:val="0"/>
          <w:lang w:val="da-DK"/>
        </w:rPr>
        <w:t>Størstedelen af patienterne i studiet var kaukasere (87 % i alle tre arme). Medianalderen var 60 år i CPP</w:t>
      </w:r>
      <w:r w:rsidR="004B3750">
        <w:rPr>
          <w:snapToGrid w:val="0"/>
          <w:lang w:val="da-DK"/>
        </w:rPr>
        <w:noBreakHyphen/>
      </w:r>
      <w:r w:rsidRPr="001278B6">
        <w:rPr>
          <w:snapToGrid w:val="0"/>
          <w:lang w:val="da-DK"/>
        </w:rPr>
        <w:t xml:space="preserve"> og CPB15</w:t>
      </w:r>
      <w:r w:rsidR="004B3750">
        <w:rPr>
          <w:snapToGrid w:val="0"/>
          <w:lang w:val="da-DK"/>
        </w:rPr>
        <w:noBreakHyphen/>
      </w:r>
      <w:r w:rsidRPr="001278B6">
        <w:rPr>
          <w:snapToGrid w:val="0"/>
          <w:lang w:val="da-DK"/>
        </w:rPr>
        <w:t>armene og 59 år i CBP15+</w:t>
      </w:r>
      <w:r w:rsidR="004B3750">
        <w:rPr>
          <w:snapToGrid w:val="0"/>
          <w:lang w:val="da-DK"/>
        </w:rPr>
        <w:noBreakHyphen/>
      </w:r>
      <w:r w:rsidRPr="001278B6">
        <w:rPr>
          <w:snapToGrid w:val="0"/>
          <w:lang w:val="da-DK"/>
        </w:rPr>
        <w:t>armen. 29 % af patienterne i CPP</w:t>
      </w:r>
      <w:r w:rsidR="004B3750">
        <w:rPr>
          <w:snapToGrid w:val="0"/>
          <w:lang w:val="da-DK"/>
        </w:rPr>
        <w:noBreakHyphen/>
      </w:r>
      <w:r w:rsidRPr="001278B6">
        <w:rPr>
          <w:snapToGrid w:val="0"/>
          <w:lang w:val="da-DK"/>
        </w:rPr>
        <w:t xml:space="preserve"> og CPB15</w:t>
      </w:r>
      <w:r w:rsidR="004B3750">
        <w:rPr>
          <w:snapToGrid w:val="0"/>
          <w:lang w:val="da-DK"/>
        </w:rPr>
        <w:noBreakHyphen/>
      </w:r>
      <w:r w:rsidRPr="001278B6">
        <w:rPr>
          <w:snapToGrid w:val="0"/>
          <w:lang w:val="da-DK"/>
        </w:rPr>
        <w:t>armene og 26 % i CPB15+</w:t>
      </w:r>
      <w:r w:rsidR="004B3750">
        <w:rPr>
          <w:snapToGrid w:val="0"/>
          <w:lang w:val="da-DK"/>
        </w:rPr>
        <w:noBreakHyphen/>
      </w:r>
      <w:r w:rsidRPr="001278B6">
        <w:rPr>
          <w:snapToGrid w:val="0"/>
          <w:lang w:val="da-DK"/>
        </w:rPr>
        <w:t>armen var over 65 år. Samlet set havde ca. 50 % af patienterne en GOG</w:t>
      </w:r>
      <w:r w:rsidR="004B3750">
        <w:rPr>
          <w:snapToGrid w:val="0"/>
          <w:lang w:val="da-DK"/>
        </w:rPr>
        <w:noBreakHyphen/>
      </w:r>
      <w:r w:rsidRPr="001278B6">
        <w:rPr>
          <w:snapToGrid w:val="0"/>
          <w:lang w:val="da-DK"/>
        </w:rPr>
        <w:t>performancestatus (PS)</w:t>
      </w:r>
      <w:r w:rsidR="004B3750">
        <w:rPr>
          <w:snapToGrid w:val="0"/>
          <w:lang w:val="da-DK"/>
        </w:rPr>
        <w:noBreakHyphen/>
      </w:r>
      <w:r w:rsidRPr="001278B6">
        <w:rPr>
          <w:snapToGrid w:val="0"/>
          <w:lang w:val="da-DK"/>
        </w:rPr>
        <w:t xml:space="preserve">score på 0 ved </w:t>
      </w:r>
      <w:r w:rsidRPr="001278B6">
        <w:rPr>
          <w:i/>
          <w:snapToGrid w:val="0"/>
          <w:lang w:val="da-DK"/>
        </w:rPr>
        <w:t>baseline</w:t>
      </w:r>
      <w:r w:rsidRPr="001278B6">
        <w:rPr>
          <w:snapToGrid w:val="0"/>
          <w:lang w:val="da-DK"/>
        </w:rPr>
        <w:t>, 43 % en GOG PS</w:t>
      </w:r>
      <w:r w:rsidR="004B3750">
        <w:rPr>
          <w:snapToGrid w:val="0"/>
          <w:lang w:val="da-DK"/>
        </w:rPr>
        <w:noBreakHyphen/>
      </w:r>
      <w:r w:rsidRPr="001278B6">
        <w:rPr>
          <w:snapToGrid w:val="0"/>
          <w:lang w:val="da-DK"/>
        </w:rPr>
        <w:t>score 1 og 7 % en GOG PS score på 2. De fleste patienter havde epitelialt ovariekarcinom (82 % i CPP og CPB15, 85 % i CPB15+), efterfulgt af primært peritonealt karcinom (16 % i CPP, 15 % i CPB15, 13 % i CPB15+) og tubakarcinom (1 % i CPP, 3 % i CPB15, 2 % i CPB15+). Størstedelen af patienterne havde serøs histologisk type af adenokarcinom (85 % i CPP og CPB15, 86 % i CPB15+). Samlet set var ca. 34</w:t>
      </w:r>
      <w:r w:rsidR="0076196B">
        <w:rPr>
          <w:snapToGrid w:val="0"/>
          <w:lang w:val="da-DK"/>
        </w:rPr>
        <w:t> </w:t>
      </w:r>
      <w:r w:rsidRPr="001278B6">
        <w:rPr>
          <w:snapToGrid w:val="0"/>
          <w:lang w:val="da-DK"/>
        </w:rPr>
        <w:t>% af patienterne FIGO stadie III optimalt tumorreducerede med makroskopisk residualsygdom, 40</w:t>
      </w:r>
      <w:r w:rsidR="0076196B">
        <w:rPr>
          <w:snapToGrid w:val="0"/>
          <w:lang w:val="da-DK"/>
        </w:rPr>
        <w:t> </w:t>
      </w:r>
      <w:r w:rsidRPr="001278B6">
        <w:rPr>
          <w:snapToGrid w:val="0"/>
          <w:lang w:val="da-DK"/>
        </w:rPr>
        <w:t>% stadie III sub</w:t>
      </w:r>
      <w:r w:rsidR="004B3750">
        <w:rPr>
          <w:snapToGrid w:val="0"/>
          <w:lang w:val="da-DK"/>
        </w:rPr>
        <w:noBreakHyphen/>
      </w:r>
      <w:r w:rsidRPr="001278B6">
        <w:rPr>
          <w:snapToGrid w:val="0"/>
          <w:lang w:val="da-DK"/>
        </w:rPr>
        <w:t>optimalt tumorreducerede, og 26 % var stadie IV</w:t>
      </w:r>
      <w:r w:rsidR="004B3750">
        <w:rPr>
          <w:snapToGrid w:val="0"/>
          <w:lang w:val="da-DK"/>
        </w:rPr>
        <w:noBreakHyphen/>
      </w:r>
      <w:r w:rsidRPr="001278B6">
        <w:rPr>
          <w:snapToGrid w:val="0"/>
          <w:lang w:val="da-DK"/>
        </w:rPr>
        <w:t>patienter.</w:t>
      </w:r>
    </w:p>
    <w:p w14:paraId="7BF71CC0" w14:textId="77777777" w:rsidR="0079124A" w:rsidRPr="001278B6" w:rsidRDefault="0079124A" w:rsidP="001278B6">
      <w:pPr>
        <w:widowControl/>
        <w:adjustRightInd w:val="0"/>
        <w:snapToGrid w:val="0"/>
        <w:rPr>
          <w:snapToGrid w:val="0"/>
          <w:lang w:val="da-DK"/>
        </w:rPr>
      </w:pPr>
    </w:p>
    <w:p w14:paraId="5216FC5E" w14:textId="77777777" w:rsidR="003563EF" w:rsidRPr="001278B6" w:rsidRDefault="00473235" w:rsidP="001278B6">
      <w:pPr>
        <w:pStyle w:val="a3"/>
        <w:widowControl/>
        <w:adjustRightInd w:val="0"/>
        <w:snapToGrid w:val="0"/>
        <w:rPr>
          <w:snapToGrid w:val="0"/>
          <w:lang w:val="da-DK"/>
        </w:rPr>
      </w:pPr>
      <w:r w:rsidRPr="001278B6">
        <w:rPr>
          <w:snapToGrid w:val="0"/>
          <w:lang w:val="da-DK"/>
        </w:rPr>
        <w:t>Det primære endepunkt var PFS, baseret på investigators vurdering af sygdomsprogression baseret på radiologiske scanninger eller CA</w:t>
      </w:r>
      <w:r w:rsidR="004B3750">
        <w:rPr>
          <w:snapToGrid w:val="0"/>
          <w:lang w:val="da-DK"/>
        </w:rPr>
        <w:noBreakHyphen/>
      </w:r>
      <w:r w:rsidRPr="001278B6">
        <w:rPr>
          <w:snapToGrid w:val="0"/>
          <w:lang w:val="da-DK"/>
        </w:rPr>
        <w:t>125</w:t>
      </w:r>
      <w:r w:rsidR="004B3750">
        <w:rPr>
          <w:snapToGrid w:val="0"/>
          <w:lang w:val="da-DK"/>
        </w:rPr>
        <w:noBreakHyphen/>
      </w:r>
      <w:r w:rsidRPr="001278B6">
        <w:rPr>
          <w:snapToGrid w:val="0"/>
          <w:lang w:val="da-DK"/>
        </w:rPr>
        <w:t>niveauer, eller symptomatisk forværring per protokol.</w:t>
      </w:r>
      <w:r w:rsidR="0076196B">
        <w:rPr>
          <w:snapToGrid w:val="0"/>
          <w:lang w:val="da-DK"/>
        </w:rPr>
        <w:t xml:space="preserve"> </w:t>
      </w:r>
      <w:r w:rsidRPr="001278B6">
        <w:rPr>
          <w:snapToGrid w:val="0"/>
          <w:lang w:val="da-DK"/>
        </w:rPr>
        <w:t>Yderligere blev en præspecificeret analyse med datacensurering for CA</w:t>
      </w:r>
      <w:r w:rsidR="004B3750">
        <w:rPr>
          <w:snapToGrid w:val="0"/>
          <w:lang w:val="da-DK"/>
        </w:rPr>
        <w:noBreakHyphen/>
      </w:r>
      <w:r w:rsidRPr="001278B6">
        <w:rPr>
          <w:snapToGrid w:val="0"/>
          <w:lang w:val="da-DK"/>
        </w:rPr>
        <w:t>125</w:t>
      </w:r>
      <w:r w:rsidR="004B3750">
        <w:rPr>
          <w:snapToGrid w:val="0"/>
          <w:lang w:val="da-DK"/>
        </w:rPr>
        <w:noBreakHyphen/>
      </w:r>
      <w:r w:rsidRPr="001278B6">
        <w:rPr>
          <w:snapToGrid w:val="0"/>
          <w:lang w:val="da-DK"/>
        </w:rPr>
        <w:t>progressioner udført såvel som en uafhængig vurdering af PFS fastlagt ved radiologiske scanninger.</w:t>
      </w:r>
    </w:p>
    <w:p w14:paraId="56DC7D7C" w14:textId="77777777" w:rsidR="003563EF" w:rsidRPr="001278B6" w:rsidRDefault="003563EF" w:rsidP="001278B6">
      <w:pPr>
        <w:pStyle w:val="a3"/>
        <w:widowControl/>
        <w:adjustRightInd w:val="0"/>
        <w:snapToGrid w:val="0"/>
        <w:rPr>
          <w:snapToGrid w:val="0"/>
          <w:lang w:val="da-DK"/>
        </w:rPr>
      </w:pPr>
    </w:p>
    <w:p w14:paraId="63C6E7FE"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mødte sit primære mål for forbedring af PFS. Patienter, som fik bevacizumab i en dosis på</w:t>
      </w:r>
      <w:r w:rsidR="008C54C2">
        <w:rPr>
          <w:snapToGrid w:val="0"/>
          <w:lang w:val="da-DK"/>
        </w:rPr>
        <w:t xml:space="preserve"> </w:t>
      </w:r>
      <w:r w:rsidRPr="001278B6">
        <w:rPr>
          <w:snapToGrid w:val="0"/>
          <w:lang w:val="da-DK"/>
        </w:rPr>
        <w:t>15</w:t>
      </w:r>
      <w:r w:rsidR="008C54C2">
        <w:rPr>
          <w:snapToGrid w:val="0"/>
          <w:lang w:val="da-DK"/>
        </w:rPr>
        <w:t> </w:t>
      </w:r>
      <w:r w:rsidRPr="001278B6">
        <w:rPr>
          <w:snapToGrid w:val="0"/>
          <w:lang w:val="da-DK"/>
        </w:rPr>
        <w:t>mg/kg hver 3. uge i kombination med kemoterapi (carboplatin og paclitaxel) og fortsatte med at få bevacizumab</w:t>
      </w:r>
      <w:r w:rsidR="004B3750">
        <w:rPr>
          <w:snapToGrid w:val="0"/>
          <w:lang w:val="da-DK"/>
        </w:rPr>
        <w:noBreakHyphen/>
      </w:r>
      <w:r w:rsidRPr="001278B6">
        <w:rPr>
          <w:snapToGrid w:val="0"/>
          <w:lang w:val="da-DK"/>
        </w:rPr>
        <w:t xml:space="preserve">monoterapi (CPB15+), havde en klinisk betydningsfuld og statistisk signifikant </w:t>
      </w:r>
      <w:r w:rsidRPr="001278B6">
        <w:rPr>
          <w:snapToGrid w:val="0"/>
          <w:lang w:val="da-DK"/>
        </w:rPr>
        <w:lastRenderedPageBreak/>
        <w:t>forbedring af PFS sammenlignet med patienter, som blev behandlet med kemoterapi alene i frontlinjebehandlingsregimet.</w:t>
      </w:r>
    </w:p>
    <w:p w14:paraId="60BEF554" w14:textId="77777777" w:rsidR="003563EF" w:rsidRPr="001278B6" w:rsidRDefault="003563EF" w:rsidP="001278B6">
      <w:pPr>
        <w:pStyle w:val="a3"/>
        <w:widowControl/>
        <w:adjustRightInd w:val="0"/>
        <w:snapToGrid w:val="0"/>
        <w:rPr>
          <w:snapToGrid w:val="0"/>
          <w:lang w:val="da-DK"/>
        </w:rPr>
      </w:pPr>
    </w:p>
    <w:p w14:paraId="18D69399" w14:textId="77777777" w:rsidR="003563EF" w:rsidRPr="001278B6" w:rsidRDefault="00473235" w:rsidP="001278B6">
      <w:pPr>
        <w:pStyle w:val="a3"/>
        <w:widowControl/>
        <w:adjustRightInd w:val="0"/>
        <w:snapToGrid w:val="0"/>
        <w:rPr>
          <w:snapToGrid w:val="0"/>
          <w:lang w:val="da-DK"/>
        </w:rPr>
      </w:pPr>
      <w:r w:rsidRPr="001278B6">
        <w:rPr>
          <w:snapToGrid w:val="0"/>
          <w:lang w:val="da-DK"/>
        </w:rPr>
        <w:t>Ingen klinisk betydningsfuld fordel i PFS blev observeret hos patienter, som kun fik bevacizumab i kombination med kemoterapi og ikke fortsatte med at få bevacizumab</w:t>
      </w:r>
      <w:r w:rsidR="004B3750">
        <w:rPr>
          <w:snapToGrid w:val="0"/>
          <w:lang w:val="da-DK"/>
        </w:rPr>
        <w:noBreakHyphen/>
      </w:r>
      <w:r w:rsidRPr="001278B6">
        <w:rPr>
          <w:snapToGrid w:val="0"/>
          <w:lang w:val="da-DK"/>
        </w:rPr>
        <w:t>monoterapi (CPB15).</w:t>
      </w:r>
    </w:p>
    <w:p w14:paraId="7AE926A0" w14:textId="77777777" w:rsidR="003563EF" w:rsidRPr="001278B6" w:rsidRDefault="003563EF" w:rsidP="001278B6">
      <w:pPr>
        <w:pStyle w:val="a3"/>
        <w:widowControl/>
        <w:adjustRightInd w:val="0"/>
        <w:snapToGrid w:val="0"/>
        <w:rPr>
          <w:snapToGrid w:val="0"/>
          <w:lang w:val="da-DK"/>
        </w:rPr>
      </w:pPr>
    </w:p>
    <w:p w14:paraId="5D7BC45B" w14:textId="77777777" w:rsidR="003563EF" w:rsidRPr="001278B6" w:rsidRDefault="00473235" w:rsidP="001278B6">
      <w:pPr>
        <w:pStyle w:val="a3"/>
        <w:widowControl/>
        <w:adjustRightInd w:val="0"/>
        <w:snapToGrid w:val="0"/>
        <w:rPr>
          <w:snapToGrid w:val="0"/>
          <w:lang w:val="da-DK"/>
        </w:rPr>
      </w:pPr>
      <w:r w:rsidRPr="001278B6">
        <w:rPr>
          <w:snapToGrid w:val="0"/>
          <w:lang w:val="da-DK"/>
        </w:rPr>
        <w:t>Resultaterne fra dette studie er sammenfattet i tabel 16.</w:t>
      </w:r>
    </w:p>
    <w:p w14:paraId="7028B730" w14:textId="77777777" w:rsidR="003563EF" w:rsidRPr="001278B6" w:rsidRDefault="003563EF" w:rsidP="001278B6">
      <w:pPr>
        <w:pStyle w:val="a3"/>
        <w:widowControl/>
        <w:adjustRightInd w:val="0"/>
        <w:snapToGrid w:val="0"/>
        <w:rPr>
          <w:snapToGrid w:val="0"/>
          <w:lang w:val="da-DK"/>
        </w:rPr>
      </w:pPr>
    </w:p>
    <w:p w14:paraId="6508AE5C" w14:textId="77777777" w:rsidR="003563EF" w:rsidRPr="00E85219" w:rsidRDefault="00473235" w:rsidP="00E85219">
      <w:pPr>
        <w:ind w:left="1134" w:hanging="1134"/>
        <w:rPr>
          <w:b/>
          <w:bCs/>
          <w:snapToGrid w:val="0"/>
          <w:lang w:val="da-DK"/>
        </w:rPr>
      </w:pPr>
      <w:r w:rsidRPr="00E85219">
        <w:rPr>
          <w:b/>
          <w:bCs/>
          <w:snapToGrid w:val="0"/>
          <w:lang w:val="da-DK"/>
        </w:rPr>
        <w:t>Tabel 16.</w:t>
      </w:r>
      <w:r w:rsidRPr="00E85219">
        <w:rPr>
          <w:b/>
          <w:bCs/>
          <w:snapToGrid w:val="0"/>
          <w:lang w:val="da-DK"/>
        </w:rPr>
        <w:tab/>
        <w:t>Effektresultater fra studie GOG</w:t>
      </w:r>
      <w:r w:rsidR="004B3750" w:rsidRPr="00E85219">
        <w:rPr>
          <w:b/>
          <w:bCs/>
          <w:snapToGrid w:val="0"/>
          <w:lang w:val="da-DK"/>
        </w:rPr>
        <w:noBreakHyphen/>
      </w:r>
      <w:r w:rsidRPr="00E85219">
        <w:rPr>
          <w:b/>
          <w:bCs/>
          <w:snapToGrid w:val="0"/>
          <w:lang w:val="da-DK"/>
        </w:rPr>
        <w:t>0218</w:t>
      </w:r>
    </w:p>
    <w:p w14:paraId="1915FE6E"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8"/>
        <w:gridCol w:w="2088"/>
        <w:gridCol w:w="2086"/>
      </w:tblGrid>
      <w:tr w:rsidR="003563EF" w:rsidRPr="005476B6" w14:paraId="39CCC340" w14:textId="77777777" w:rsidTr="00237969">
        <w:trPr>
          <w:cantSplit/>
        </w:trPr>
        <w:tc>
          <w:tcPr>
            <w:tcW w:w="9066" w:type="dxa"/>
            <w:gridSpan w:val="4"/>
            <w:tcBorders>
              <w:bottom w:val="single" w:sz="4" w:space="0" w:color="auto"/>
            </w:tcBorders>
          </w:tcPr>
          <w:p w14:paraId="7BCE70DD" w14:textId="77777777" w:rsidR="003563EF" w:rsidRPr="00096AD4" w:rsidRDefault="00473235" w:rsidP="001278B6">
            <w:pPr>
              <w:pStyle w:val="TableParagraph"/>
              <w:keepNext/>
              <w:keepLines/>
              <w:widowControl/>
              <w:adjustRightInd w:val="0"/>
              <w:snapToGrid w:val="0"/>
              <w:rPr>
                <w:b/>
                <w:bCs/>
                <w:snapToGrid w:val="0"/>
                <w:sz w:val="20"/>
                <w:lang w:val="da-DK"/>
              </w:rPr>
            </w:pPr>
            <w:r w:rsidRPr="00096AD4">
              <w:rPr>
                <w:b/>
                <w:bCs/>
                <w:snapToGrid w:val="0"/>
                <w:sz w:val="20"/>
                <w:lang w:val="da-DK"/>
              </w:rPr>
              <w:t xml:space="preserve">Progressionsfri overlevelse </w:t>
            </w:r>
            <w:r w:rsidRPr="00096AD4">
              <w:rPr>
                <w:b/>
                <w:bCs/>
                <w:snapToGrid w:val="0"/>
                <w:sz w:val="20"/>
                <w:vertAlign w:val="superscript"/>
                <w:lang w:val="da-DK"/>
              </w:rPr>
              <w:t>1</w:t>
            </w:r>
          </w:p>
        </w:tc>
      </w:tr>
      <w:tr w:rsidR="003563EF" w:rsidRPr="005476B6" w14:paraId="0728204A" w14:textId="77777777" w:rsidTr="00C640C9">
        <w:trPr>
          <w:cantSplit/>
        </w:trPr>
        <w:tc>
          <w:tcPr>
            <w:tcW w:w="2804" w:type="dxa"/>
            <w:tcBorders>
              <w:bottom w:val="single" w:sz="4" w:space="0" w:color="auto"/>
            </w:tcBorders>
          </w:tcPr>
          <w:p w14:paraId="7F6B368D" w14:textId="77777777" w:rsidR="003563EF" w:rsidRPr="001278B6" w:rsidRDefault="003563EF" w:rsidP="001278B6">
            <w:pPr>
              <w:pStyle w:val="TableParagraph"/>
              <w:keepNext/>
              <w:keepLines/>
              <w:widowControl/>
              <w:adjustRightInd w:val="0"/>
              <w:snapToGrid w:val="0"/>
              <w:rPr>
                <w:snapToGrid w:val="0"/>
                <w:sz w:val="20"/>
                <w:lang w:val="da-DK"/>
              </w:rPr>
            </w:pPr>
          </w:p>
        </w:tc>
        <w:tc>
          <w:tcPr>
            <w:tcW w:w="2088" w:type="dxa"/>
            <w:tcBorders>
              <w:bottom w:val="single" w:sz="4" w:space="0" w:color="auto"/>
            </w:tcBorders>
          </w:tcPr>
          <w:p w14:paraId="4F18CA4A"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CPP</w:t>
            </w:r>
          </w:p>
          <w:p w14:paraId="05155785"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 = 625)</w:t>
            </w:r>
          </w:p>
        </w:tc>
        <w:tc>
          <w:tcPr>
            <w:tcW w:w="2088" w:type="dxa"/>
            <w:tcBorders>
              <w:bottom w:val="single" w:sz="4" w:space="0" w:color="auto"/>
            </w:tcBorders>
          </w:tcPr>
          <w:p w14:paraId="1ECB4C9B" w14:textId="77777777" w:rsidR="000E68B9"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CPB15</w:t>
            </w:r>
          </w:p>
          <w:p w14:paraId="78468E21"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 = 625)</w:t>
            </w:r>
          </w:p>
        </w:tc>
        <w:tc>
          <w:tcPr>
            <w:tcW w:w="2086" w:type="dxa"/>
            <w:tcBorders>
              <w:bottom w:val="single" w:sz="4" w:space="0" w:color="auto"/>
            </w:tcBorders>
          </w:tcPr>
          <w:p w14:paraId="45C76E31" w14:textId="77777777" w:rsidR="000E68B9"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CPB15+</w:t>
            </w:r>
          </w:p>
          <w:p w14:paraId="0EDB1E5A"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 = 623)</w:t>
            </w:r>
          </w:p>
        </w:tc>
      </w:tr>
      <w:tr w:rsidR="00237969" w:rsidRPr="005476B6" w14:paraId="5996141B" w14:textId="77777777" w:rsidTr="00C640C9">
        <w:trPr>
          <w:cantSplit/>
        </w:trPr>
        <w:tc>
          <w:tcPr>
            <w:tcW w:w="2804" w:type="dxa"/>
            <w:tcBorders>
              <w:bottom w:val="single" w:sz="4" w:space="0" w:color="auto"/>
            </w:tcBorders>
          </w:tcPr>
          <w:p w14:paraId="296B7633" w14:textId="77777777" w:rsidR="00237969" w:rsidRPr="001278B6" w:rsidRDefault="00237969" w:rsidP="00F466A3">
            <w:pPr>
              <w:pStyle w:val="TableParagraph"/>
              <w:keepNext/>
              <w:keepLines/>
              <w:widowControl/>
              <w:adjustRightInd w:val="0"/>
              <w:snapToGrid w:val="0"/>
              <w:jc w:val="center"/>
              <w:rPr>
                <w:snapToGrid w:val="0"/>
                <w:sz w:val="20"/>
                <w:lang w:val="da-DK"/>
              </w:rPr>
            </w:pPr>
            <w:r w:rsidRPr="001278B6">
              <w:rPr>
                <w:snapToGrid w:val="0"/>
                <w:sz w:val="20"/>
                <w:lang w:val="da-DK"/>
              </w:rPr>
              <w:t>Median PFS (måneder)</w:t>
            </w:r>
          </w:p>
        </w:tc>
        <w:tc>
          <w:tcPr>
            <w:tcW w:w="2088" w:type="dxa"/>
            <w:tcBorders>
              <w:bottom w:val="single" w:sz="4" w:space="0" w:color="auto"/>
            </w:tcBorders>
          </w:tcPr>
          <w:p w14:paraId="1AA248AA" w14:textId="77777777" w:rsidR="00237969" w:rsidRPr="001278B6" w:rsidRDefault="00237969" w:rsidP="001278B6">
            <w:pPr>
              <w:pStyle w:val="TableParagraph"/>
              <w:keepNext/>
              <w:keepLines/>
              <w:widowControl/>
              <w:adjustRightInd w:val="0"/>
              <w:snapToGrid w:val="0"/>
              <w:jc w:val="center"/>
              <w:rPr>
                <w:snapToGrid w:val="0"/>
                <w:sz w:val="20"/>
                <w:lang w:val="da-DK"/>
              </w:rPr>
            </w:pPr>
            <w:r w:rsidRPr="001278B6">
              <w:rPr>
                <w:snapToGrid w:val="0"/>
                <w:sz w:val="20"/>
                <w:lang w:val="da-DK"/>
              </w:rPr>
              <w:t>10,6</w:t>
            </w:r>
          </w:p>
        </w:tc>
        <w:tc>
          <w:tcPr>
            <w:tcW w:w="2088" w:type="dxa"/>
            <w:tcBorders>
              <w:bottom w:val="single" w:sz="4" w:space="0" w:color="auto"/>
            </w:tcBorders>
          </w:tcPr>
          <w:p w14:paraId="5ECA55D5" w14:textId="77777777" w:rsidR="00237969" w:rsidRPr="001278B6" w:rsidRDefault="00237969" w:rsidP="001278B6">
            <w:pPr>
              <w:pStyle w:val="TableParagraph"/>
              <w:keepNext/>
              <w:keepLines/>
              <w:widowControl/>
              <w:adjustRightInd w:val="0"/>
              <w:snapToGrid w:val="0"/>
              <w:jc w:val="center"/>
              <w:rPr>
                <w:snapToGrid w:val="0"/>
                <w:sz w:val="20"/>
                <w:lang w:val="da-DK"/>
              </w:rPr>
            </w:pPr>
            <w:r w:rsidRPr="001278B6">
              <w:rPr>
                <w:snapToGrid w:val="0"/>
                <w:sz w:val="20"/>
                <w:lang w:val="da-DK"/>
              </w:rPr>
              <w:t>11,6</w:t>
            </w:r>
          </w:p>
        </w:tc>
        <w:tc>
          <w:tcPr>
            <w:tcW w:w="2086" w:type="dxa"/>
            <w:tcBorders>
              <w:bottom w:val="single" w:sz="4" w:space="0" w:color="auto"/>
            </w:tcBorders>
          </w:tcPr>
          <w:p w14:paraId="134BAF70" w14:textId="77777777" w:rsidR="00237969" w:rsidRPr="001278B6" w:rsidRDefault="00237969" w:rsidP="001278B6">
            <w:pPr>
              <w:pStyle w:val="TableParagraph"/>
              <w:keepNext/>
              <w:keepLines/>
              <w:widowControl/>
              <w:adjustRightInd w:val="0"/>
              <w:snapToGrid w:val="0"/>
              <w:jc w:val="center"/>
              <w:rPr>
                <w:snapToGrid w:val="0"/>
                <w:sz w:val="20"/>
                <w:lang w:val="da-DK"/>
              </w:rPr>
            </w:pPr>
            <w:r w:rsidRPr="001278B6">
              <w:rPr>
                <w:snapToGrid w:val="0"/>
                <w:sz w:val="20"/>
                <w:lang w:val="da-DK"/>
              </w:rPr>
              <w:t>14,7</w:t>
            </w:r>
          </w:p>
        </w:tc>
      </w:tr>
      <w:tr w:rsidR="003563EF" w:rsidRPr="005476B6" w14:paraId="4706C925" w14:textId="77777777" w:rsidTr="00F466A3">
        <w:trPr>
          <w:cantSplit/>
        </w:trPr>
        <w:tc>
          <w:tcPr>
            <w:tcW w:w="2804" w:type="dxa"/>
            <w:tcBorders>
              <w:top w:val="single" w:sz="4" w:space="0" w:color="auto"/>
              <w:bottom w:val="single" w:sz="4" w:space="0" w:color="auto"/>
            </w:tcBorders>
          </w:tcPr>
          <w:p w14:paraId="6F447DBE" w14:textId="77777777" w:rsidR="003563EF" w:rsidRPr="001278B6" w:rsidRDefault="00473235" w:rsidP="001278B6">
            <w:pPr>
              <w:pStyle w:val="TableParagraph"/>
              <w:widowControl/>
              <w:adjustRightInd w:val="0"/>
              <w:snapToGrid w:val="0"/>
              <w:jc w:val="center"/>
              <w:rPr>
                <w:snapToGrid w:val="0"/>
                <w:sz w:val="20"/>
                <w:lang w:val="da-DK"/>
              </w:rPr>
            </w:pPr>
            <w:r w:rsidRPr="001278B6">
              <w:rPr>
                <w:i/>
                <w:snapToGrid w:val="0"/>
                <w:sz w:val="20"/>
                <w:lang w:val="da-DK"/>
              </w:rPr>
              <w:t xml:space="preserve">Hazard </w:t>
            </w:r>
            <w:r w:rsidRPr="001278B6">
              <w:rPr>
                <w:snapToGrid w:val="0"/>
                <w:sz w:val="20"/>
                <w:lang w:val="da-DK"/>
              </w:rPr>
              <w:t>ratio (95 %</w:t>
            </w:r>
            <w:r w:rsidR="000E68B9">
              <w:rPr>
                <w:snapToGrid w:val="0"/>
                <w:sz w:val="20"/>
                <w:lang w:val="da-DK"/>
              </w:rPr>
              <w:t xml:space="preserve"> </w:t>
            </w:r>
            <w:r w:rsidRPr="001278B6">
              <w:rPr>
                <w:snapToGrid w:val="0"/>
                <w:sz w:val="20"/>
                <w:lang w:val="da-DK"/>
              </w:rPr>
              <w:t xml:space="preserve">konfidensinterval) </w:t>
            </w:r>
            <w:r w:rsidRPr="001278B6">
              <w:rPr>
                <w:snapToGrid w:val="0"/>
                <w:sz w:val="20"/>
                <w:vertAlign w:val="superscript"/>
                <w:lang w:val="da-DK"/>
              </w:rPr>
              <w:t>2</w:t>
            </w:r>
          </w:p>
        </w:tc>
        <w:tc>
          <w:tcPr>
            <w:tcW w:w="2088" w:type="dxa"/>
            <w:tcBorders>
              <w:top w:val="single" w:sz="4" w:space="0" w:color="auto"/>
              <w:bottom w:val="single" w:sz="4" w:space="0" w:color="auto"/>
            </w:tcBorders>
          </w:tcPr>
          <w:p w14:paraId="3198CE25" w14:textId="77777777" w:rsidR="003563EF" w:rsidRPr="001278B6" w:rsidRDefault="003563EF" w:rsidP="001278B6">
            <w:pPr>
              <w:pStyle w:val="TableParagraph"/>
              <w:widowControl/>
              <w:adjustRightInd w:val="0"/>
              <w:snapToGrid w:val="0"/>
              <w:rPr>
                <w:snapToGrid w:val="0"/>
                <w:sz w:val="20"/>
                <w:lang w:val="da-DK"/>
              </w:rPr>
            </w:pPr>
          </w:p>
        </w:tc>
        <w:tc>
          <w:tcPr>
            <w:tcW w:w="2088" w:type="dxa"/>
            <w:tcBorders>
              <w:top w:val="single" w:sz="4" w:space="0" w:color="auto"/>
              <w:bottom w:val="single" w:sz="4" w:space="0" w:color="auto"/>
            </w:tcBorders>
          </w:tcPr>
          <w:p w14:paraId="4E293F7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0,89</w:t>
            </w:r>
          </w:p>
          <w:p w14:paraId="1F75039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(0,78</w:t>
            </w:r>
            <w:r w:rsidR="004B3750">
              <w:rPr>
                <w:snapToGrid w:val="0"/>
                <w:sz w:val="20"/>
                <w:lang w:val="da-DK"/>
              </w:rPr>
              <w:noBreakHyphen/>
            </w:r>
            <w:r w:rsidRPr="001278B6">
              <w:rPr>
                <w:snapToGrid w:val="0"/>
                <w:sz w:val="20"/>
                <w:lang w:val="da-DK"/>
              </w:rPr>
              <w:t>1,02)</w:t>
            </w:r>
          </w:p>
        </w:tc>
        <w:tc>
          <w:tcPr>
            <w:tcW w:w="2086" w:type="dxa"/>
            <w:tcBorders>
              <w:top w:val="single" w:sz="4" w:space="0" w:color="auto"/>
              <w:bottom w:val="single" w:sz="4" w:space="0" w:color="auto"/>
            </w:tcBorders>
          </w:tcPr>
          <w:p w14:paraId="67176A4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0,70</w:t>
            </w:r>
          </w:p>
          <w:p w14:paraId="08552F5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(0,61</w:t>
            </w:r>
            <w:r w:rsidR="004B3750">
              <w:rPr>
                <w:snapToGrid w:val="0"/>
                <w:sz w:val="20"/>
                <w:lang w:val="da-DK"/>
              </w:rPr>
              <w:noBreakHyphen/>
            </w:r>
            <w:r w:rsidRPr="001278B6">
              <w:rPr>
                <w:snapToGrid w:val="0"/>
                <w:sz w:val="20"/>
                <w:lang w:val="da-DK"/>
              </w:rPr>
              <w:t>0,81)</w:t>
            </w:r>
          </w:p>
        </w:tc>
      </w:tr>
      <w:tr w:rsidR="00237969" w:rsidRPr="005476B6" w14:paraId="359FC175" w14:textId="77777777" w:rsidTr="00C640C9">
        <w:trPr>
          <w:cantSplit/>
        </w:trPr>
        <w:tc>
          <w:tcPr>
            <w:tcW w:w="2804" w:type="dxa"/>
            <w:tcBorders>
              <w:top w:val="single" w:sz="4" w:space="0" w:color="auto"/>
              <w:bottom w:val="nil"/>
            </w:tcBorders>
          </w:tcPr>
          <w:p w14:paraId="6A5F596B" w14:textId="77777777" w:rsidR="00237969" w:rsidRPr="001278B6" w:rsidRDefault="00237969" w:rsidP="00237969">
            <w:pPr>
              <w:pStyle w:val="TableParagraph"/>
              <w:widowControl/>
              <w:adjustRightInd w:val="0"/>
              <w:snapToGrid w:val="0"/>
              <w:jc w:val="center"/>
              <w:rPr>
                <w:i/>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 xml:space="preserve">værdi </w:t>
            </w:r>
            <w:r w:rsidRPr="001278B6">
              <w:rPr>
                <w:snapToGrid w:val="0"/>
                <w:sz w:val="20"/>
                <w:vertAlign w:val="superscript"/>
                <w:lang w:val="da-DK"/>
              </w:rPr>
              <w:t>3,</w:t>
            </w:r>
            <w:r w:rsidRPr="001278B6">
              <w:rPr>
                <w:snapToGrid w:val="0"/>
                <w:sz w:val="20"/>
                <w:lang w:val="da-DK"/>
              </w:rPr>
              <w:t xml:space="preserve"> </w:t>
            </w:r>
            <w:r w:rsidRPr="001278B6">
              <w:rPr>
                <w:snapToGrid w:val="0"/>
                <w:sz w:val="20"/>
                <w:vertAlign w:val="superscript"/>
                <w:lang w:val="da-DK"/>
              </w:rPr>
              <w:t>4</w:t>
            </w:r>
          </w:p>
        </w:tc>
        <w:tc>
          <w:tcPr>
            <w:tcW w:w="2088" w:type="dxa"/>
            <w:tcBorders>
              <w:top w:val="single" w:sz="4" w:space="0" w:color="auto"/>
              <w:bottom w:val="nil"/>
            </w:tcBorders>
          </w:tcPr>
          <w:p w14:paraId="66F65AED"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top w:val="single" w:sz="4" w:space="0" w:color="auto"/>
              <w:bottom w:val="nil"/>
            </w:tcBorders>
          </w:tcPr>
          <w:p w14:paraId="140B1602"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0,0437</w:t>
            </w:r>
          </w:p>
        </w:tc>
        <w:tc>
          <w:tcPr>
            <w:tcW w:w="2086" w:type="dxa"/>
            <w:tcBorders>
              <w:top w:val="single" w:sz="4" w:space="0" w:color="auto"/>
              <w:bottom w:val="nil"/>
            </w:tcBorders>
          </w:tcPr>
          <w:p w14:paraId="08581163"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&lt; 0,0001</w:t>
            </w:r>
          </w:p>
        </w:tc>
      </w:tr>
      <w:tr w:rsidR="00237969" w:rsidRPr="005476B6" w14:paraId="7FAA0685" w14:textId="77777777" w:rsidTr="00237969">
        <w:trPr>
          <w:cantSplit/>
        </w:trPr>
        <w:tc>
          <w:tcPr>
            <w:tcW w:w="9066" w:type="dxa"/>
            <w:gridSpan w:val="4"/>
            <w:tcBorders>
              <w:bottom w:val="single" w:sz="4" w:space="0" w:color="auto"/>
            </w:tcBorders>
          </w:tcPr>
          <w:p w14:paraId="4CCD6BB6" w14:textId="77777777" w:rsidR="00237969" w:rsidRPr="00096AD4" w:rsidRDefault="00237969" w:rsidP="00237969">
            <w:pPr>
              <w:pStyle w:val="TableParagraph"/>
              <w:widowControl/>
              <w:adjustRightInd w:val="0"/>
              <w:snapToGrid w:val="0"/>
              <w:rPr>
                <w:b/>
                <w:bCs/>
                <w:snapToGrid w:val="0"/>
                <w:sz w:val="20"/>
                <w:lang w:val="da-DK"/>
              </w:rPr>
            </w:pPr>
            <w:r w:rsidRPr="00096AD4">
              <w:rPr>
                <w:b/>
                <w:bCs/>
                <w:snapToGrid w:val="0"/>
                <w:sz w:val="20"/>
                <w:lang w:val="da-DK"/>
              </w:rPr>
              <w:t xml:space="preserve">Objektiv responsrate </w:t>
            </w:r>
            <w:r w:rsidRPr="00096AD4">
              <w:rPr>
                <w:b/>
                <w:bCs/>
                <w:snapToGrid w:val="0"/>
                <w:sz w:val="20"/>
                <w:vertAlign w:val="superscript"/>
                <w:lang w:val="da-DK"/>
              </w:rPr>
              <w:t>5</w:t>
            </w:r>
          </w:p>
        </w:tc>
      </w:tr>
      <w:tr w:rsidR="00237969" w:rsidRPr="005476B6" w14:paraId="0CFE1E1E" w14:textId="77777777" w:rsidTr="00F466A3">
        <w:trPr>
          <w:cantSplit/>
        </w:trPr>
        <w:tc>
          <w:tcPr>
            <w:tcW w:w="2804" w:type="dxa"/>
            <w:tcBorders>
              <w:bottom w:val="single" w:sz="4" w:space="0" w:color="auto"/>
            </w:tcBorders>
          </w:tcPr>
          <w:p w14:paraId="38C9219D"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bottom w:val="single" w:sz="4" w:space="0" w:color="auto"/>
            </w:tcBorders>
          </w:tcPr>
          <w:p w14:paraId="171B6346"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CPP </w:t>
            </w:r>
          </w:p>
          <w:p w14:paraId="10BC22BD"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396)</w:t>
            </w:r>
          </w:p>
        </w:tc>
        <w:tc>
          <w:tcPr>
            <w:tcW w:w="2088" w:type="dxa"/>
            <w:tcBorders>
              <w:bottom w:val="single" w:sz="4" w:space="0" w:color="auto"/>
            </w:tcBorders>
          </w:tcPr>
          <w:p w14:paraId="1C8D69E1"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78239F92"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393)</w:t>
            </w:r>
          </w:p>
        </w:tc>
        <w:tc>
          <w:tcPr>
            <w:tcW w:w="2086" w:type="dxa"/>
            <w:tcBorders>
              <w:bottom w:val="single" w:sz="4" w:space="0" w:color="auto"/>
            </w:tcBorders>
          </w:tcPr>
          <w:p w14:paraId="09ADA525"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65A52EB7"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403)</w:t>
            </w:r>
          </w:p>
        </w:tc>
      </w:tr>
      <w:tr w:rsidR="00237969" w:rsidRPr="005476B6" w14:paraId="47AEA3B9" w14:textId="77777777" w:rsidTr="00F466A3">
        <w:trPr>
          <w:cantSplit/>
        </w:trPr>
        <w:tc>
          <w:tcPr>
            <w:tcW w:w="2804" w:type="dxa"/>
            <w:tcBorders>
              <w:bottom w:val="single" w:sz="4" w:space="0" w:color="auto"/>
            </w:tcBorders>
          </w:tcPr>
          <w:p w14:paraId="0BD60D23" w14:textId="77777777" w:rsidR="00237969" w:rsidRPr="001278B6" w:rsidRDefault="00237969" w:rsidP="00F466A3">
            <w:pPr>
              <w:pStyle w:val="TableParagraph"/>
              <w:widowControl/>
              <w:adjustRightInd w:val="0"/>
              <w:snapToGrid w:val="0"/>
              <w:jc w:val="center"/>
              <w:rPr>
                <w:snapToGrid w:val="0"/>
                <w:sz w:val="20"/>
                <w:lang w:val="da-DK"/>
              </w:rPr>
            </w:pPr>
            <w:r w:rsidRPr="001278B6">
              <w:rPr>
                <w:snapToGrid w:val="0"/>
                <w:sz w:val="20"/>
                <w:lang w:val="da-DK"/>
              </w:rPr>
              <w:t>% patienter med objektivt respons</w:t>
            </w:r>
          </w:p>
        </w:tc>
        <w:tc>
          <w:tcPr>
            <w:tcW w:w="2088" w:type="dxa"/>
            <w:tcBorders>
              <w:bottom w:val="single" w:sz="4" w:space="0" w:color="auto"/>
            </w:tcBorders>
          </w:tcPr>
          <w:p w14:paraId="2DC2BFF2"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63,4</w:t>
            </w:r>
          </w:p>
        </w:tc>
        <w:tc>
          <w:tcPr>
            <w:tcW w:w="2088" w:type="dxa"/>
            <w:tcBorders>
              <w:bottom w:val="single" w:sz="4" w:space="0" w:color="auto"/>
            </w:tcBorders>
          </w:tcPr>
          <w:p w14:paraId="234A84A7"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66,2</w:t>
            </w:r>
          </w:p>
        </w:tc>
        <w:tc>
          <w:tcPr>
            <w:tcW w:w="2086" w:type="dxa"/>
            <w:tcBorders>
              <w:bottom w:val="single" w:sz="4" w:space="0" w:color="auto"/>
            </w:tcBorders>
          </w:tcPr>
          <w:p w14:paraId="7CCFB70F"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66,0</w:t>
            </w:r>
          </w:p>
        </w:tc>
      </w:tr>
      <w:tr w:rsidR="00237969" w:rsidRPr="005476B6" w14:paraId="1B2386AC" w14:textId="77777777" w:rsidTr="00F466A3">
        <w:trPr>
          <w:cantSplit/>
        </w:trPr>
        <w:tc>
          <w:tcPr>
            <w:tcW w:w="2804" w:type="dxa"/>
            <w:tcBorders>
              <w:top w:val="single" w:sz="4" w:space="0" w:color="auto"/>
            </w:tcBorders>
          </w:tcPr>
          <w:p w14:paraId="59E68632"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værdi</w:t>
            </w:r>
          </w:p>
        </w:tc>
        <w:tc>
          <w:tcPr>
            <w:tcW w:w="2088" w:type="dxa"/>
            <w:tcBorders>
              <w:top w:val="single" w:sz="4" w:space="0" w:color="auto"/>
            </w:tcBorders>
          </w:tcPr>
          <w:p w14:paraId="7BB713C9"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top w:val="single" w:sz="4" w:space="0" w:color="auto"/>
            </w:tcBorders>
          </w:tcPr>
          <w:p w14:paraId="397F0E3D"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0,2341</w:t>
            </w:r>
          </w:p>
        </w:tc>
        <w:tc>
          <w:tcPr>
            <w:tcW w:w="2086" w:type="dxa"/>
            <w:tcBorders>
              <w:top w:val="single" w:sz="4" w:space="0" w:color="auto"/>
            </w:tcBorders>
          </w:tcPr>
          <w:p w14:paraId="5A521CB1"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0,2041</w:t>
            </w:r>
          </w:p>
        </w:tc>
      </w:tr>
      <w:tr w:rsidR="00237969" w:rsidRPr="005476B6" w14:paraId="33FBF71F" w14:textId="77777777" w:rsidTr="00237969">
        <w:trPr>
          <w:cantSplit/>
        </w:trPr>
        <w:tc>
          <w:tcPr>
            <w:tcW w:w="9066" w:type="dxa"/>
            <w:gridSpan w:val="4"/>
            <w:tcBorders>
              <w:bottom w:val="single" w:sz="4" w:space="0" w:color="auto"/>
            </w:tcBorders>
          </w:tcPr>
          <w:p w14:paraId="3CF23C31" w14:textId="77777777" w:rsidR="00237969" w:rsidRPr="00096AD4" w:rsidRDefault="00237969" w:rsidP="00237969">
            <w:pPr>
              <w:pStyle w:val="TableParagraph"/>
              <w:widowControl/>
              <w:adjustRightInd w:val="0"/>
              <w:snapToGrid w:val="0"/>
              <w:rPr>
                <w:b/>
                <w:bCs/>
                <w:snapToGrid w:val="0"/>
                <w:sz w:val="20"/>
                <w:lang w:val="da-DK"/>
              </w:rPr>
            </w:pPr>
            <w:r w:rsidRPr="00096AD4">
              <w:rPr>
                <w:b/>
                <w:bCs/>
                <w:snapToGrid w:val="0"/>
                <w:sz w:val="20"/>
                <w:lang w:val="da-DK"/>
              </w:rPr>
              <w:t xml:space="preserve">Samlet overlevelse </w:t>
            </w:r>
            <w:r w:rsidRPr="00096AD4">
              <w:rPr>
                <w:b/>
                <w:bCs/>
                <w:snapToGrid w:val="0"/>
                <w:sz w:val="20"/>
                <w:vertAlign w:val="superscript"/>
                <w:lang w:val="da-DK"/>
              </w:rPr>
              <w:t>6</w:t>
            </w:r>
          </w:p>
        </w:tc>
      </w:tr>
      <w:tr w:rsidR="00237969" w:rsidRPr="005476B6" w14:paraId="7FFF4FE4" w14:textId="77777777" w:rsidTr="00237969">
        <w:trPr>
          <w:cantSplit/>
        </w:trPr>
        <w:tc>
          <w:tcPr>
            <w:tcW w:w="2804" w:type="dxa"/>
            <w:tcBorders>
              <w:bottom w:val="nil"/>
            </w:tcBorders>
          </w:tcPr>
          <w:p w14:paraId="64443980"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bottom w:val="nil"/>
            </w:tcBorders>
          </w:tcPr>
          <w:p w14:paraId="285ECA27"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CPP </w:t>
            </w:r>
          </w:p>
          <w:p w14:paraId="577E0E29"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625)</w:t>
            </w:r>
          </w:p>
        </w:tc>
        <w:tc>
          <w:tcPr>
            <w:tcW w:w="2088" w:type="dxa"/>
            <w:tcBorders>
              <w:bottom w:val="nil"/>
            </w:tcBorders>
          </w:tcPr>
          <w:p w14:paraId="19F22C7D"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7AA178F8"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625)</w:t>
            </w:r>
          </w:p>
        </w:tc>
        <w:tc>
          <w:tcPr>
            <w:tcW w:w="2086" w:type="dxa"/>
            <w:tcBorders>
              <w:bottom w:val="nil"/>
            </w:tcBorders>
          </w:tcPr>
          <w:p w14:paraId="1FAABFD3" w14:textId="77777777" w:rsidR="00237969" w:rsidRDefault="00237969" w:rsidP="00237969">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748DD3B2"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(n = 623)</w:t>
            </w:r>
          </w:p>
        </w:tc>
      </w:tr>
      <w:tr w:rsidR="00237969" w:rsidRPr="005476B6" w14:paraId="525192A4" w14:textId="77777777" w:rsidTr="00237969">
        <w:trPr>
          <w:cantSplit/>
        </w:trPr>
        <w:tc>
          <w:tcPr>
            <w:tcW w:w="2804" w:type="dxa"/>
            <w:tcBorders>
              <w:bottom w:val="nil"/>
            </w:tcBorders>
          </w:tcPr>
          <w:p w14:paraId="00A8E454" w14:textId="77777777" w:rsidR="00237969" w:rsidRPr="001278B6" w:rsidRDefault="00237969" w:rsidP="00F466A3">
            <w:pPr>
              <w:pStyle w:val="TableParagraph"/>
              <w:widowControl/>
              <w:adjustRightInd w:val="0"/>
              <w:snapToGrid w:val="0"/>
              <w:jc w:val="center"/>
              <w:rPr>
                <w:snapToGrid w:val="0"/>
                <w:sz w:val="20"/>
                <w:lang w:val="da-DK"/>
              </w:rPr>
            </w:pPr>
            <w:r w:rsidRPr="001278B6">
              <w:rPr>
                <w:snapToGrid w:val="0"/>
                <w:sz w:val="20"/>
                <w:lang w:val="da-DK"/>
              </w:rPr>
              <w:t>Median OS (måneder)</w:t>
            </w:r>
          </w:p>
        </w:tc>
        <w:tc>
          <w:tcPr>
            <w:tcW w:w="2088" w:type="dxa"/>
            <w:tcBorders>
              <w:bottom w:val="nil"/>
            </w:tcBorders>
          </w:tcPr>
          <w:p w14:paraId="6A4C1FCA"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40,6</w:t>
            </w:r>
          </w:p>
        </w:tc>
        <w:tc>
          <w:tcPr>
            <w:tcW w:w="2088" w:type="dxa"/>
            <w:tcBorders>
              <w:bottom w:val="nil"/>
            </w:tcBorders>
          </w:tcPr>
          <w:p w14:paraId="056C67D9"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38,8</w:t>
            </w:r>
          </w:p>
        </w:tc>
        <w:tc>
          <w:tcPr>
            <w:tcW w:w="2086" w:type="dxa"/>
            <w:tcBorders>
              <w:bottom w:val="nil"/>
            </w:tcBorders>
          </w:tcPr>
          <w:p w14:paraId="2AD89825"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43,8</w:t>
            </w:r>
          </w:p>
        </w:tc>
      </w:tr>
      <w:tr w:rsidR="00237969" w:rsidRPr="005476B6" w14:paraId="34ACC67F" w14:textId="77777777" w:rsidTr="00F466A3">
        <w:trPr>
          <w:cantSplit/>
        </w:trPr>
        <w:tc>
          <w:tcPr>
            <w:tcW w:w="2804" w:type="dxa"/>
            <w:tcBorders>
              <w:top w:val="single" w:sz="4" w:space="0" w:color="auto"/>
              <w:bottom w:val="single" w:sz="4" w:space="0" w:color="auto"/>
            </w:tcBorders>
          </w:tcPr>
          <w:p w14:paraId="567B4E58" w14:textId="77777777" w:rsidR="00237969" w:rsidRPr="001278B6" w:rsidRDefault="00237969" w:rsidP="00237969">
            <w:pPr>
              <w:pStyle w:val="TableParagraph"/>
              <w:widowControl/>
              <w:adjustRightInd w:val="0"/>
              <w:snapToGrid w:val="0"/>
              <w:jc w:val="center"/>
              <w:rPr>
                <w:snapToGrid w:val="0"/>
                <w:sz w:val="20"/>
                <w:lang w:val="da-DK"/>
              </w:rPr>
            </w:pPr>
            <w:r w:rsidRPr="00096AD4">
              <w:rPr>
                <w:iCs/>
                <w:snapToGrid w:val="0"/>
                <w:sz w:val="20"/>
                <w:lang w:val="da-DK"/>
              </w:rPr>
              <w:t>Hazard ratio</w:t>
            </w:r>
            <w:r w:rsidRPr="001278B6">
              <w:rPr>
                <w:snapToGrid w:val="0"/>
                <w:sz w:val="20"/>
                <w:lang w:val="da-DK"/>
              </w:rPr>
              <w:t xml:space="preserve"> (95 %</w:t>
            </w:r>
            <w:r>
              <w:rPr>
                <w:snapToGrid w:val="0"/>
                <w:sz w:val="20"/>
                <w:lang w:val="da-DK"/>
              </w:rPr>
              <w:t xml:space="preserve"> </w:t>
            </w:r>
            <w:r w:rsidRPr="001278B6">
              <w:rPr>
                <w:snapToGrid w:val="0"/>
                <w:sz w:val="20"/>
                <w:lang w:val="da-DK"/>
              </w:rPr>
              <w:t xml:space="preserve">konfidensinterval) </w:t>
            </w:r>
            <w:r w:rsidRPr="001278B6">
              <w:rPr>
                <w:snapToGrid w:val="0"/>
                <w:sz w:val="20"/>
                <w:vertAlign w:val="superscript"/>
                <w:lang w:val="da-DK"/>
              </w:rPr>
              <w:t>2</w:t>
            </w:r>
          </w:p>
        </w:tc>
        <w:tc>
          <w:tcPr>
            <w:tcW w:w="2088" w:type="dxa"/>
            <w:tcBorders>
              <w:top w:val="single" w:sz="4" w:space="0" w:color="auto"/>
              <w:bottom w:val="single" w:sz="4" w:space="0" w:color="auto"/>
            </w:tcBorders>
          </w:tcPr>
          <w:p w14:paraId="5379613B"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top w:val="single" w:sz="4" w:space="0" w:color="auto"/>
              <w:bottom w:val="single" w:sz="4" w:space="0" w:color="auto"/>
            </w:tcBorders>
          </w:tcPr>
          <w:p w14:paraId="7293F769"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1,07 (0,91</w:t>
            </w:r>
            <w:r>
              <w:rPr>
                <w:snapToGrid w:val="0"/>
                <w:sz w:val="20"/>
                <w:lang w:val="da-DK"/>
              </w:rPr>
              <w:noBreakHyphen/>
            </w:r>
            <w:r w:rsidRPr="001278B6">
              <w:rPr>
                <w:snapToGrid w:val="0"/>
                <w:sz w:val="20"/>
                <w:lang w:val="da-DK"/>
              </w:rPr>
              <w:t>1,25)</w:t>
            </w:r>
          </w:p>
        </w:tc>
        <w:tc>
          <w:tcPr>
            <w:tcW w:w="2086" w:type="dxa"/>
            <w:tcBorders>
              <w:top w:val="single" w:sz="4" w:space="0" w:color="auto"/>
              <w:bottom w:val="single" w:sz="4" w:space="0" w:color="auto"/>
            </w:tcBorders>
          </w:tcPr>
          <w:p w14:paraId="31877553"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0,88 (0,75</w:t>
            </w:r>
            <w:r>
              <w:rPr>
                <w:snapToGrid w:val="0"/>
                <w:sz w:val="20"/>
                <w:lang w:val="da-DK"/>
              </w:rPr>
              <w:noBreakHyphen/>
            </w:r>
            <w:r w:rsidRPr="001278B6">
              <w:rPr>
                <w:snapToGrid w:val="0"/>
                <w:sz w:val="20"/>
                <w:lang w:val="da-DK"/>
              </w:rPr>
              <w:t>1,04)</w:t>
            </w:r>
          </w:p>
        </w:tc>
      </w:tr>
      <w:tr w:rsidR="00237969" w:rsidRPr="005476B6" w14:paraId="0512BBC5" w14:textId="77777777" w:rsidTr="00F466A3">
        <w:trPr>
          <w:cantSplit/>
        </w:trPr>
        <w:tc>
          <w:tcPr>
            <w:tcW w:w="2804" w:type="dxa"/>
            <w:tcBorders>
              <w:top w:val="single" w:sz="4" w:space="0" w:color="auto"/>
            </w:tcBorders>
          </w:tcPr>
          <w:p w14:paraId="6347CBB4"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 xml:space="preserve">værdi </w:t>
            </w:r>
            <w:r w:rsidRPr="001278B6">
              <w:rPr>
                <w:snapToGrid w:val="0"/>
                <w:sz w:val="20"/>
                <w:vertAlign w:val="superscript"/>
                <w:lang w:val="da-DK"/>
              </w:rPr>
              <w:t>3</w:t>
            </w:r>
          </w:p>
        </w:tc>
        <w:tc>
          <w:tcPr>
            <w:tcW w:w="2088" w:type="dxa"/>
            <w:tcBorders>
              <w:top w:val="single" w:sz="4" w:space="0" w:color="auto"/>
            </w:tcBorders>
          </w:tcPr>
          <w:p w14:paraId="545EA2DD" w14:textId="77777777" w:rsidR="00237969" w:rsidRPr="001278B6" w:rsidRDefault="00237969" w:rsidP="00237969">
            <w:pPr>
              <w:pStyle w:val="TableParagraph"/>
              <w:widowControl/>
              <w:adjustRightInd w:val="0"/>
              <w:snapToGrid w:val="0"/>
              <w:rPr>
                <w:snapToGrid w:val="0"/>
                <w:sz w:val="20"/>
                <w:lang w:val="da-DK"/>
              </w:rPr>
            </w:pPr>
          </w:p>
        </w:tc>
        <w:tc>
          <w:tcPr>
            <w:tcW w:w="2088" w:type="dxa"/>
            <w:tcBorders>
              <w:top w:val="single" w:sz="4" w:space="0" w:color="auto"/>
            </w:tcBorders>
          </w:tcPr>
          <w:p w14:paraId="4D9AD665"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0,2197</w:t>
            </w:r>
          </w:p>
        </w:tc>
        <w:tc>
          <w:tcPr>
            <w:tcW w:w="2086" w:type="dxa"/>
            <w:tcBorders>
              <w:top w:val="single" w:sz="4" w:space="0" w:color="auto"/>
            </w:tcBorders>
          </w:tcPr>
          <w:p w14:paraId="481FBFED" w14:textId="77777777" w:rsidR="00237969" w:rsidRPr="001278B6" w:rsidRDefault="00237969" w:rsidP="00237969">
            <w:pPr>
              <w:pStyle w:val="TableParagraph"/>
              <w:widowControl/>
              <w:adjustRightInd w:val="0"/>
              <w:snapToGrid w:val="0"/>
              <w:jc w:val="center"/>
              <w:rPr>
                <w:snapToGrid w:val="0"/>
                <w:sz w:val="20"/>
                <w:lang w:val="da-DK"/>
              </w:rPr>
            </w:pPr>
            <w:r w:rsidRPr="001278B6">
              <w:rPr>
                <w:snapToGrid w:val="0"/>
                <w:sz w:val="20"/>
                <w:lang w:val="da-DK"/>
              </w:rPr>
              <w:t>0,0641</w:t>
            </w:r>
          </w:p>
        </w:tc>
      </w:tr>
    </w:tbl>
    <w:p w14:paraId="3ABA31C9" w14:textId="77777777" w:rsidR="003563EF" w:rsidRPr="00822465" w:rsidRDefault="00473235" w:rsidP="001278B6">
      <w:pPr>
        <w:widowControl/>
        <w:adjustRightInd w:val="0"/>
        <w:snapToGrid w:val="0"/>
        <w:jc w:val="both"/>
        <w:rPr>
          <w:snapToGrid w:val="0"/>
          <w:sz w:val="18"/>
          <w:szCs w:val="18"/>
          <w:lang w:val="da-DK"/>
        </w:rPr>
      </w:pPr>
      <w:r w:rsidRPr="00822465">
        <w:rPr>
          <w:snapToGrid w:val="0"/>
          <w:sz w:val="18"/>
          <w:szCs w:val="18"/>
          <w:vertAlign w:val="superscript"/>
          <w:lang w:val="da-DK"/>
        </w:rPr>
        <w:t>1</w:t>
      </w:r>
      <w:r w:rsidRPr="00822465">
        <w:rPr>
          <w:snapToGrid w:val="0"/>
          <w:sz w:val="18"/>
          <w:szCs w:val="18"/>
          <w:lang w:val="da-DK"/>
        </w:rPr>
        <w:t xml:space="preserve"> Investigatorvurderet GOG</w:t>
      </w:r>
      <w:r w:rsidR="004B3750" w:rsidRPr="00822465">
        <w:rPr>
          <w:snapToGrid w:val="0"/>
          <w:sz w:val="18"/>
          <w:szCs w:val="18"/>
          <w:lang w:val="da-DK"/>
        </w:rPr>
        <w:noBreakHyphen/>
      </w:r>
      <w:r w:rsidRPr="00822465">
        <w:rPr>
          <w:snapToGrid w:val="0"/>
          <w:sz w:val="18"/>
          <w:szCs w:val="18"/>
          <w:lang w:val="da-DK"/>
        </w:rPr>
        <w:t>protokolspecificeret PFS</w:t>
      </w:r>
      <w:r w:rsidR="004B3750" w:rsidRPr="00822465">
        <w:rPr>
          <w:snapToGrid w:val="0"/>
          <w:sz w:val="18"/>
          <w:szCs w:val="18"/>
          <w:lang w:val="da-DK"/>
        </w:rPr>
        <w:noBreakHyphen/>
      </w:r>
      <w:r w:rsidRPr="00822465">
        <w:rPr>
          <w:snapToGrid w:val="0"/>
          <w:sz w:val="18"/>
          <w:szCs w:val="18"/>
          <w:lang w:val="da-DK"/>
        </w:rPr>
        <w:t>analyse (hverken censureret for CA</w:t>
      </w:r>
      <w:r w:rsidR="004B3750" w:rsidRPr="00822465">
        <w:rPr>
          <w:snapToGrid w:val="0"/>
          <w:sz w:val="18"/>
          <w:szCs w:val="18"/>
          <w:lang w:val="da-DK"/>
        </w:rPr>
        <w:noBreakHyphen/>
      </w:r>
      <w:r w:rsidRPr="00822465">
        <w:rPr>
          <w:snapToGrid w:val="0"/>
          <w:sz w:val="18"/>
          <w:szCs w:val="18"/>
          <w:lang w:val="da-DK"/>
        </w:rPr>
        <w:t>125</w:t>
      </w:r>
      <w:r w:rsidR="004B3750" w:rsidRPr="00822465">
        <w:rPr>
          <w:snapToGrid w:val="0"/>
          <w:sz w:val="18"/>
          <w:szCs w:val="18"/>
          <w:lang w:val="da-DK"/>
        </w:rPr>
        <w:noBreakHyphen/>
      </w:r>
      <w:r w:rsidRPr="00822465">
        <w:rPr>
          <w:snapToGrid w:val="0"/>
          <w:sz w:val="18"/>
          <w:szCs w:val="18"/>
          <w:lang w:val="da-DK"/>
        </w:rPr>
        <w:t>progressioner eller censureret for non</w:t>
      </w:r>
      <w:r w:rsidR="004B3750" w:rsidRPr="00822465">
        <w:rPr>
          <w:snapToGrid w:val="0"/>
          <w:sz w:val="18"/>
          <w:szCs w:val="18"/>
          <w:lang w:val="da-DK"/>
        </w:rPr>
        <w:noBreakHyphen/>
      </w:r>
      <w:r w:rsidRPr="00822465">
        <w:rPr>
          <w:snapToGrid w:val="0"/>
          <w:sz w:val="18"/>
          <w:szCs w:val="18"/>
          <w:lang w:val="da-DK"/>
        </w:rPr>
        <w:t>protokolleret terapi (NPT) før sygdomsprogression) med data cut</w:t>
      </w:r>
      <w:r w:rsidR="004B3750" w:rsidRPr="00822465">
        <w:rPr>
          <w:snapToGrid w:val="0"/>
          <w:sz w:val="18"/>
          <w:szCs w:val="18"/>
          <w:lang w:val="da-DK"/>
        </w:rPr>
        <w:noBreakHyphen/>
      </w:r>
      <w:r w:rsidRPr="00822465">
        <w:rPr>
          <w:snapToGrid w:val="0"/>
          <w:sz w:val="18"/>
          <w:szCs w:val="18"/>
          <w:lang w:val="da-DK"/>
        </w:rPr>
        <w:t>off den 25. februar 2010.</w:t>
      </w:r>
    </w:p>
    <w:p w14:paraId="1414AEDC" w14:textId="77777777" w:rsidR="003563EF" w:rsidRPr="001278B6" w:rsidRDefault="00473235" w:rsidP="001278B6">
      <w:pPr>
        <w:widowControl/>
        <w:adjustRightInd w:val="0"/>
        <w:snapToGrid w:val="0"/>
        <w:jc w:val="both"/>
        <w:rPr>
          <w:snapToGrid w:val="0"/>
          <w:sz w:val="18"/>
          <w:szCs w:val="18"/>
          <w:lang w:val="da-DK"/>
        </w:rPr>
      </w:pPr>
      <w:r w:rsidRPr="001278B6">
        <w:rPr>
          <w:snapToGrid w:val="0"/>
          <w:sz w:val="18"/>
          <w:szCs w:val="18"/>
          <w:vertAlign w:val="superscript"/>
          <w:lang w:val="da-DK"/>
        </w:rPr>
        <w:t>2</w:t>
      </w:r>
      <w:r w:rsidRPr="001278B6">
        <w:rPr>
          <w:snapToGrid w:val="0"/>
          <w:sz w:val="18"/>
          <w:szCs w:val="18"/>
          <w:lang w:val="da-DK"/>
        </w:rPr>
        <w:t xml:space="preserve"> I forhold til kontrolarmen; stratificeret </w:t>
      </w:r>
      <w:r w:rsidRPr="001278B6">
        <w:rPr>
          <w:i/>
          <w:snapToGrid w:val="0"/>
          <w:sz w:val="18"/>
          <w:szCs w:val="18"/>
          <w:lang w:val="da-DK"/>
        </w:rPr>
        <w:t xml:space="preserve">hazard </w:t>
      </w:r>
      <w:r w:rsidRPr="001278B6">
        <w:rPr>
          <w:snapToGrid w:val="0"/>
          <w:sz w:val="18"/>
          <w:szCs w:val="18"/>
          <w:lang w:val="da-DK"/>
        </w:rPr>
        <w:t>ratio.</w:t>
      </w:r>
    </w:p>
    <w:p w14:paraId="7884E24B" w14:textId="77777777" w:rsidR="003563EF" w:rsidRPr="001278B6" w:rsidRDefault="00473235" w:rsidP="001278B6">
      <w:pPr>
        <w:widowControl/>
        <w:adjustRightInd w:val="0"/>
        <w:snapToGrid w:val="0"/>
        <w:jc w:val="both"/>
        <w:rPr>
          <w:snapToGrid w:val="0"/>
          <w:sz w:val="18"/>
          <w:szCs w:val="18"/>
          <w:lang w:val="da-DK"/>
        </w:rPr>
      </w:pPr>
      <w:r w:rsidRPr="001278B6">
        <w:rPr>
          <w:snapToGrid w:val="0"/>
          <w:sz w:val="18"/>
          <w:szCs w:val="18"/>
          <w:vertAlign w:val="superscript"/>
          <w:lang w:val="da-DK"/>
        </w:rPr>
        <w:t>3</w:t>
      </w:r>
      <w:r w:rsidRPr="001278B6">
        <w:rPr>
          <w:snapToGrid w:val="0"/>
          <w:sz w:val="18"/>
          <w:szCs w:val="18"/>
          <w:lang w:val="da-DK"/>
        </w:rPr>
        <w:t xml:space="preserve"> Ensidig log</w:t>
      </w:r>
      <w:r w:rsidR="004B3750">
        <w:rPr>
          <w:snapToGrid w:val="0"/>
          <w:sz w:val="18"/>
          <w:szCs w:val="18"/>
          <w:lang w:val="da-DK"/>
        </w:rPr>
        <w:noBreakHyphen/>
      </w:r>
      <w:r w:rsidRPr="001278B6">
        <w:rPr>
          <w:snapToGrid w:val="0"/>
          <w:sz w:val="18"/>
          <w:szCs w:val="18"/>
          <w:lang w:val="da-DK"/>
        </w:rPr>
        <w:t>rank p</w:t>
      </w:r>
      <w:r w:rsidR="004B3750">
        <w:rPr>
          <w:snapToGrid w:val="0"/>
          <w:sz w:val="18"/>
          <w:szCs w:val="18"/>
          <w:lang w:val="da-DK"/>
        </w:rPr>
        <w:noBreakHyphen/>
      </w:r>
      <w:r w:rsidRPr="001278B6">
        <w:rPr>
          <w:snapToGrid w:val="0"/>
          <w:sz w:val="18"/>
          <w:szCs w:val="18"/>
          <w:lang w:val="da-DK"/>
        </w:rPr>
        <w:t>værdi.</w:t>
      </w:r>
    </w:p>
    <w:p w14:paraId="1CEA562D"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4</w:t>
      </w:r>
      <w:r w:rsidRPr="001278B6">
        <w:rPr>
          <w:snapToGrid w:val="0"/>
          <w:sz w:val="18"/>
          <w:szCs w:val="18"/>
          <w:lang w:val="da-DK"/>
        </w:rPr>
        <w:t xml:space="preserve"> Underlagt en p</w:t>
      </w:r>
      <w:r w:rsidR="004B3750">
        <w:rPr>
          <w:snapToGrid w:val="0"/>
          <w:sz w:val="18"/>
          <w:szCs w:val="18"/>
          <w:lang w:val="da-DK"/>
        </w:rPr>
        <w:noBreakHyphen/>
      </w:r>
      <w:r w:rsidRPr="001278B6">
        <w:rPr>
          <w:snapToGrid w:val="0"/>
          <w:sz w:val="18"/>
          <w:szCs w:val="18"/>
          <w:lang w:val="da-DK"/>
        </w:rPr>
        <w:t>værdigrænse på 0,0116.</w:t>
      </w:r>
    </w:p>
    <w:p w14:paraId="64F8CACC"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5</w:t>
      </w:r>
      <w:r w:rsidRPr="001278B6">
        <w:rPr>
          <w:snapToGrid w:val="0"/>
          <w:sz w:val="18"/>
          <w:szCs w:val="18"/>
          <w:lang w:val="da-DK"/>
        </w:rPr>
        <w:t xml:space="preserve"> Patienter med målbar sygdom ved </w:t>
      </w:r>
      <w:r w:rsidRPr="001278B6">
        <w:rPr>
          <w:i/>
          <w:snapToGrid w:val="0"/>
          <w:sz w:val="18"/>
          <w:szCs w:val="18"/>
          <w:lang w:val="da-DK"/>
        </w:rPr>
        <w:t>baseline</w:t>
      </w:r>
      <w:r w:rsidRPr="001278B6">
        <w:rPr>
          <w:snapToGrid w:val="0"/>
          <w:sz w:val="18"/>
          <w:szCs w:val="18"/>
          <w:lang w:val="da-DK"/>
        </w:rPr>
        <w:t>.</w:t>
      </w:r>
    </w:p>
    <w:p w14:paraId="3788D4C5" w14:textId="7D9F7808"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6</w:t>
      </w:r>
      <w:r w:rsidRPr="001278B6">
        <w:rPr>
          <w:snapToGrid w:val="0"/>
          <w:sz w:val="18"/>
          <w:szCs w:val="18"/>
          <w:lang w:val="da-DK"/>
        </w:rPr>
        <w:t xml:space="preserve"> Den endelige analyse for </w:t>
      </w:r>
      <w:r w:rsidR="00933451">
        <w:rPr>
          <w:snapToGrid w:val="0"/>
          <w:sz w:val="18"/>
          <w:szCs w:val="18"/>
          <w:lang w:val="da-DK"/>
        </w:rPr>
        <w:t>OS</w:t>
      </w:r>
      <w:r w:rsidRPr="001278B6">
        <w:rPr>
          <w:snapToGrid w:val="0"/>
          <w:sz w:val="18"/>
          <w:szCs w:val="18"/>
          <w:lang w:val="da-DK"/>
        </w:rPr>
        <w:t xml:space="preserve"> blev udført, da 46,9 % af patienterne var døde.</w:t>
      </w:r>
    </w:p>
    <w:p w14:paraId="1757492F" w14:textId="77777777" w:rsidR="0079124A" w:rsidRPr="001278B6" w:rsidRDefault="0079124A" w:rsidP="001278B6">
      <w:pPr>
        <w:widowControl/>
        <w:adjustRightInd w:val="0"/>
        <w:snapToGrid w:val="0"/>
        <w:rPr>
          <w:snapToGrid w:val="0"/>
          <w:lang w:val="da-DK"/>
        </w:rPr>
      </w:pPr>
    </w:p>
    <w:p w14:paraId="0A9F4BB9"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Præspecificerede PFS</w:t>
      </w:r>
      <w:r w:rsidR="004B3750">
        <w:rPr>
          <w:snapToGrid w:val="0"/>
          <w:lang w:val="da-DK"/>
        </w:rPr>
        <w:noBreakHyphen/>
      </w:r>
      <w:r w:rsidRPr="001278B6">
        <w:rPr>
          <w:snapToGrid w:val="0"/>
          <w:lang w:val="da-DK"/>
        </w:rPr>
        <w:t>analyser blev udført, alle med en cut</w:t>
      </w:r>
      <w:r w:rsidR="004B3750">
        <w:rPr>
          <w:snapToGrid w:val="0"/>
          <w:lang w:val="da-DK"/>
        </w:rPr>
        <w:noBreakHyphen/>
      </w:r>
      <w:r w:rsidRPr="001278B6">
        <w:rPr>
          <w:snapToGrid w:val="0"/>
          <w:lang w:val="da-DK"/>
        </w:rPr>
        <w:t>off den 29. september 2009. Resultaterne fra disse præspecificerede analyser er følgende:</w:t>
      </w:r>
    </w:p>
    <w:p w14:paraId="1C289BCD" w14:textId="77777777" w:rsidR="003563EF" w:rsidRPr="001278B6" w:rsidRDefault="003563EF" w:rsidP="001278B6">
      <w:pPr>
        <w:pStyle w:val="a3"/>
        <w:keepNext/>
        <w:keepLines/>
        <w:widowControl/>
        <w:adjustRightInd w:val="0"/>
        <w:snapToGrid w:val="0"/>
        <w:rPr>
          <w:snapToGrid w:val="0"/>
          <w:lang w:val="da-DK"/>
        </w:rPr>
      </w:pPr>
    </w:p>
    <w:p w14:paraId="5CEDC5A9" w14:textId="77777777" w:rsidR="003563EF" w:rsidRPr="001278B6" w:rsidRDefault="00473235" w:rsidP="001278B6">
      <w:pPr>
        <w:pStyle w:val="Bullet1"/>
        <w:widowControl/>
        <w:rPr>
          <w:lang w:val="da-DK"/>
        </w:rPr>
      </w:pPr>
      <w:r w:rsidRPr="001278B6">
        <w:rPr>
          <w:lang w:val="da-DK"/>
        </w:rPr>
        <w:t>Den protokolspecificerede analyse af investigatorvurderet PFS (uden censurering for CA</w:t>
      </w:r>
      <w:r w:rsidR="004B3750">
        <w:rPr>
          <w:lang w:val="da-DK"/>
        </w:rPr>
        <w:noBreakHyphen/>
      </w:r>
      <w:r w:rsidRPr="001278B6">
        <w:rPr>
          <w:lang w:val="da-DK"/>
        </w:rPr>
        <w:t>125</w:t>
      </w:r>
      <w:r w:rsidR="004B3750">
        <w:rPr>
          <w:lang w:val="da-DK"/>
        </w:rPr>
        <w:noBreakHyphen/>
      </w:r>
      <w:r w:rsidRPr="001278B6">
        <w:rPr>
          <w:lang w:val="da-DK"/>
        </w:rPr>
        <w:t>progressioner eller non</w:t>
      </w:r>
      <w:r w:rsidR="004B3750">
        <w:rPr>
          <w:lang w:val="da-DK"/>
        </w:rPr>
        <w:noBreakHyphen/>
      </w:r>
      <w:r w:rsidRPr="001278B6">
        <w:rPr>
          <w:lang w:val="da-DK"/>
        </w:rPr>
        <w:t xml:space="preserve">protokolleret terapi (NPT)) viser en stratificeret </w:t>
      </w:r>
      <w:r w:rsidRPr="001278B6">
        <w:rPr>
          <w:i/>
          <w:lang w:val="da-DK"/>
        </w:rPr>
        <w:t xml:space="preserve">hazard </w:t>
      </w:r>
      <w:r w:rsidRPr="001278B6">
        <w:rPr>
          <w:lang w:val="da-DK"/>
        </w:rPr>
        <w:t>ratio på 0,71 (95</w:t>
      </w:r>
      <w:r w:rsidR="00AC30A6">
        <w:rPr>
          <w:lang w:val="da-DK"/>
        </w:rPr>
        <w:t> </w:t>
      </w:r>
      <w:r w:rsidRPr="001278B6">
        <w:rPr>
          <w:lang w:val="da-DK"/>
        </w:rPr>
        <w:t>% konfidensinterval: 0,61</w:t>
      </w:r>
      <w:r w:rsidR="004B3750">
        <w:rPr>
          <w:lang w:val="da-DK"/>
        </w:rPr>
        <w:noBreakHyphen/>
      </w:r>
      <w:r w:rsidRPr="001278B6">
        <w:rPr>
          <w:lang w:val="da-DK"/>
        </w:rPr>
        <w:t>0,83, ensidig log</w:t>
      </w:r>
      <w:r w:rsidR="004B3750">
        <w:rPr>
          <w:lang w:val="da-DK"/>
        </w:rPr>
        <w:noBreakHyphen/>
      </w:r>
      <w:r w:rsidRPr="001278B6">
        <w:rPr>
          <w:lang w:val="da-DK"/>
        </w:rPr>
        <w:t>rank p</w:t>
      </w:r>
      <w:r w:rsidR="004B3750">
        <w:rPr>
          <w:lang w:val="da-DK"/>
        </w:rPr>
        <w:noBreakHyphen/>
      </w:r>
      <w:r w:rsidRPr="001278B6">
        <w:rPr>
          <w:lang w:val="da-DK"/>
        </w:rPr>
        <w:t>værdi &lt; 0,0001), når CPB15+ sammenlignes med CPP, med en median PFS på 10,4 måneder i CPP</w:t>
      </w:r>
      <w:r w:rsidR="004B3750">
        <w:rPr>
          <w:lang w:val="da-DK"/>
        </w:rPr>
        <w:noBreakHyphen/>
      </w:r>
      <w:r w:rsidRPr="001278B6">
        <w:rPr>
          <w:lang w:val="da-DK"/>
        </w:rPr>
        <w:t>armen og 14,1 måned i CPB15+</w:t>
      </w:r>
      <w:r w:rsidR="004B3750">
        <w:rPr>
          <w:lang w:val="da-DK"/>
        </w:rPr>
        <w:noBreakHyphen/>
      </w:r>
      <w:r w:rsidRPr="001278B6">
        <w:rPr>
          <w:lang w:val="da-DK"/>
        </w:rPr>
        <w:t>armen.</w:t>
      </w:r>
    </w:p>
    <w:p w14:paraId="28C4DB75" w14:textId="77777777" w:rsidR="003563EF" w:rsidRPr="001278B6" w:rsidRDefault="00473235" w:rsidP="001278B6">
      <w:pPr>
        <w:pStyle w:val="Bullet1"/>
        <w:widowControl/>
        <w:rPr>
          <w:lang w:val="da-DK"/>
        </w:rPr>
      </w:pPr>
      <w:r w:rsidRPr="001278B6">
        <w:rPr>
          <w:lang w:val="da-DK"/>
        </w:rPr>
        <w:t>Den primære analyse af investigatorvurderet PFS (censureret for CA</w:t>
      </w:r>
      <w:r w:rsidR="004B3750">
        <w:rPr>
          <w:lang w:val="da-DK"/>
        </w:rPr>
        <w:noBreakHyphen/>
      </w:r>
      <w:r w:rsidRPr="001278B6">
        <w:rPr>
          <w:lang w:val="da-DK"/>
        </w:rPr>
        <w:t>125</w:t>
      </w:r>
      <w:r w:rsidR="004B3750">
        <w:rPr>
          <w:lang w:val="da-DK"/>
        </w:rPr>
        <w:noBreakHyphen/>
      </w:r>
      <w:r w:rsidRPr="001278B6">
        <w:rPr>
          <w:lang w:val="da-DK"/>
        </w:rPr>
        <w:t xml:space="preserve">progressioner og NPT) viser en stratificeret </w:t>
      </w:r>
      <w:r w:rsidRPr="001278B6">
        <w:rPr>
          <w:i/>
          <w:lang w:val="da-DK"/>
        </w:rPr>
        <w:t xml:space="preserve">hazard </w:t>
      </w:r>
      <w:r w:rsidRPr="001278B6">
        <w:rPr>
          <w:lang w:val="da-DK"/>
        </w:rPr>
        <w:t>ratio på 0,62 (95 % konfidensinterval: 0,52</w:t>
      </w:r>
      <w:r w:rsidR="004B3750">
        <w:rPr>
          <w:lang w:val="da-DK"/>
        </w:rPr>
        <w:noBreakHyphen/>
      </w:r>
      <w:r w:rsidRPr="001278B6">
        <w:rPr>
          <w:lang w:val="da-DK"/>
        </w:rPr>
        <w:t>0,75, ensidig log</w:t>
      </w:r>
      <w:r w:rsidR="004B3750">
        <w:rPr>
          <w:lang w:val="da-DK"/>
        </w:rPr>
        <w:noBreakHyphen/>
      </w:r>
      <w:r w:rsidRPr="001278B6">
        <w:rPr>
          <w:lang w:val="da-DK"/>
        </w:rPr>
        <w:t>rank p</w:t>
      </w:r>
      <w:r w:rsidR="004B3750">
        <w:rPr>
          <w:lang w:val="da-DK"/>
        </w:rPr>
        <w:noBreakHyphen/>
      </w:r>
      <w:r w:rsidRPr="001278B6">
        <w:rPr>
          <w:lang w:val="da-DK"/>
        </w:rPr>
        <w:t>værdi &lt; 0,0001), når CPB15+ sammenlignes med CPP, med en median PFS på 12,0 måneder i CPP</w:t>
      </w:r>
      <w:r w:rsidR="004B3750">
        <w:rPr>
          <w:lang w:val="da-DK"/>
        </w:rPr>
        <w:noBreakHyphen/>
      </w:r>
      <w:r w:rsidRPr="001278B6">
        <w:rPr>
          <w:lang w:val="da-DK"/>
        </w:rPr>
        <w:t>armen og 18,2 måneder i CPB15+</w:t>
      </w:r>
      <w:r w:rsidR="004B3750">
        <w:rPr>
          <w:lang w:val="da-DK"/>
        </w:rPr>
        <w:noBreakHyphen/>
      </w:r>
      <w:r w:rsidRPr="001278B6">
        <w:rPr>
          <w:lang w:val="da-DK"/>
        </w:rPr>
        <w:t>armen.</w:t>
      </w:r>
    </w:p>
    <w:p w14:paraId="2323E309" w14:textId="77777777" w:rsidR="003563EF" w:rsidRPr="001278B6" w:rsidRDefault="003563EF" w:rsidP="001278B6">
      <w:pPr>
        <w:pStyle w:val="a3"/>
        <w:widowControl/>
        <w:adjustRightInd w:val="0"/>
        <w:snapToGrid w:val="0"/>
        <w:rPr>
          <w:snapToGrid w:val="0"/>
          <w:lang w:val="da-DK"/>
        </w:rPr>
      </w:pPr>
    </w:p>
    <w:p w14:paraId="32C98758" w14:textId="77777777" w:rsidR="003563EF" w:rsidRPr="001278B6" w:rsidRDefault="00473235" w:rsidP="001278B6">
      <w:pPr>
        <w:pStyle w:val="Bullet1"/>
        <w:widowControl/>
        <w:rPr>
          <w:lang w:val="da-DK"/>
        </w:rPr>
      </w:pPr>
      <w:r w:rsidRPr="001278B6">
        <w:rPr>
          <w:lang w:val="da-DK"/>
        </w:rPr>
        <w:t xml:space="preserve">Analysen af PFS vurderet af en uafhængig evalueringskomité (censureret for NPT) viser en stratificeret </w:t>
      </w:r>
      <w:r w:rsidRPr="001278B6">
        <w:rPr>
          <w:i/>
          <w:lang w:val="da-DK"/>
        </w:rPr>
        <w:t xml:space="preserve">hazard </w:t>
      </w:r>
      <w:r w:rsidRPr="001278B6">
        <w:rPr>
          <w:lang w:val="da-DK"/>
        </w:rPr>
        <w:t>ratio på 0,62 (95 % konfidensinterval: 0,50</w:t>
      </w:r>
      <w:r w:rsidR="004B3750">
        <w:rPr>
          <w:lang w:val="da-DK"/>
        </w:rPr>
        <w:noBreakHyphen/>
      </w:r>
      <w:r w:rsidRPr="001278B6">
        <w:rPr>
          <w:lang w:val="da-DK"/>
        </w:rPr>
        <w:t>0,77, ensidig log</w:t>
      </w:r>
      <w:r w:rsidR="004B3750">
        <w:rPr>
          <w:lang w:val="da-DK"/>
        </w:rPr>
        <w:noBreakHyphen/>
      </w:r>
      <w:r w:rsidRPr="001278B6">
        <w:rPr>
          <w:lang w:val="da-DK"/>
        </w:rPr>
        <w:t>rank p</w:t>
      </w:r>
      <w:r w:rsidR="004B3750">
        <w:rPr>
          <w:lang w:val="da-DK"/>
        </w:rPr>
        <w:noBreakHyphen/>
      </w:r>
      <w:r w:rsidRPr="001278B6">
        <w:rPr>
          <w:lang w:val="da-DK"/>
        </w:rPr>
        <w:t>værdi &lt;</w:t>
      </w:r>
      <w:r w:rsidR="004C3BD9">
        <w:rPr>
          <w:lang w:val="da-DK"/>
        </w:rPr>
        <w:t> </w:t>
      </w:r>
      <w:r w:rsidRPr="001278B6">
        <w:rPr>
          <w:lang w:val="da-DK"/>
        </w:rPr>
        <w:t>0,0001), når CPB15+ sammenlignes med CPP, med en median PFS på 13,1 måned i CPP</w:t>
      </w:r>
      <w:r w:rsidR="004B3750">
        <w:rPr>
          <w:lang w:val="da-DK"/>
        </w:rPr>
        <w:noBreakHyphen/>
      </w:r>
      <w:r w:rsidRPr="001278B6">
        <w:rPr>
          <w:lang w:val="da-DK"/>
        </w:rPr>
        <w:t>armen og 19,1 måned i CPB15+</w:t>
      </w:r>
      <w:r w:rsidR="004B3750">
        <w:rPr>
          <w:lang w:val="da-DK"/>
        </w:rPr>
        <w:noBreakHyphen/>
      </w:r>
      <w:r w:rsidRPr="001278B6">
        <w:rPr>
          <w:lang w:val="da-DK"/>
        </w:rPr>
        <w:t>armen.</w:t>
      </w:r>
    </w:p>
    <w:p w14:paraId="785A01D9" w14:textId="77777777" w:rsidR="003563EF" w:rsidRPr="001278B6" w:rsidRDefault="003563EF" w:rsidP="001278B6">
      <w:pPr>
        <w:pStyle w:val="a3"/>
        <w:widowControl/>
        <w:adjustRightInd w:val="0"/>
        <w:snapToGrid w:val="0"/>
        <w:rPr>
          <w:snapToGrid w:val="0"/>
          <w:lang w:val="da-DK"/>
        </w:rPr>
      </w:pPr>
    </w:p>
    <w:p w14:paraId="3005DB98" w14:textId="77777777" w:rsidR="003563EF" w:rsidRPr="001278B6" w:rsidRDefault="00473235" w:rsidP="001278B6">
      <w:pPr>
        <w:pStyle w:val="a3"/>
        <w:widowControl/>
        <w:adjustRightInd w:val="0"/>
        <w:snapToGrid w:val="0"/>
        <w:rPr>
          <w:snapToGrid w:val="0"/>
          <w:lang w:val="da-DK"/>
        </w:rPr>
      </w:pPr>
      <w:r w:rsidRPr="001278B6">
        <w:rPr>
          <w:snapToGrid w:val="0"/>
          <w:lang w:val="da-DK"/>
        </w:rPr>
        <w:t>PFS</w:t>
      </w:r>
      <w:r w:rsidR="004B3750">
        <w:rPr>
          <w:snapToGrid w:val="0"/>
          <w:lang w:val="da-DK"/>
        </w:rPr>
        <w:noBreakHyphen/>
      </w:r>
      <w:r w:rsidRPr="001278B6">
        <w:rPr>
          <w:snapToGrid w:val="0"/>
          <w:lang w:val="da-DK"/>
        </w:rPr>
        <w:t>undergruppeanalyse af sygdomsstadie og tumorreduktionsstatus er sammenfattet i tabel 17. Disse resultater påviser robusthed af PFS</w:t>
      </w:r>
      <w:r w:rsidR="004B3750">
        <w:rPr>
          <w:snapToGrid w:val="0"/>
          <w:lang w:val="da-DK"/>
        </w:rPr>
        <w:noBreakHyphen/>
      </w:r>
      <w:r w:rsidRPr="001278B6">
        <w:rPr>
          <w:snapToGrid w:val="0"/>
          <w:lang w:val="da-DK"/>
        </w:rPr>
        <w:t>analysen vist i tabel 16.</w:t>
      </w:r>
    </w:p>
    <w:p w14:paraId="6BC61023" w14:textId="77777777" w:rsidR="003563EF" w:rsidRPr="001278B6" w:rsidRDefault="003563EF" w:rsidP="001278B6">
      <w:pPr>
        <w:pStyle w:val="a3"/>
        <w:widowControl/>
        <w:adjustRightInd w:val="0"/>
        <w:snapToGrid w:val="0"/>
        <w:rPr>
          <w:snapToGrid w:val="0"/>
          <w:lang w:val="da-DK"/>
        </w:rPr>
      </w:pPr>
    </w:p>
    <w:p w14:paraId="2865F837" w14:textId="77777777" w:rsidR="003563EF" w:rsidRPr="00E85219" w:rsidRDefault="00473235" w:rsidP="00E85219">
      <w:pPr>
        <w:keepNext/>
        <w:keepLines/>
        <w:ind w:left="1134" w:hanging="1134"/>
        <w:rPr>
          <w:b/>
          <w:bCs/>
          <w:snapToGrid w:val="0"/>
          <w:lang w:val="da-DK"/>
        </w:rPr>
      </w:pPr>
      <w:r w:rsidRPr="00E85219">
        <w:rPr>
          <w:b/>
          <w:bCs/>
          <w:snapToGrid w:val="0"/>
          <w:lang w:val="da-DK"/>
        </w:rPr>
        <w:lastRenderedPageBreak/>
        <w:t>Tabel 17.</w:t>
      </w:r>
      <w:r w:rsidRPr="00E85219">
        <w:rPr>
          <w:b/>
          <w:bCs/>
          <w:snapToGrid w:val="0"/>
          <w:lang w:val="da-DK"/>
        </w:rPr>
        <w:tab/>
        <w:t>PFS</w:t>
      </w:r>
      <w:r w:rsidRPr="00E85219">
        <w:rPr>
          <w:b/>
          <w:bCs/>
          <w:snapToGrid w:val="0"/>
          <w:vertAlign w:val="superscript"/>
          <w:lang w:val="da-DK"/>
        </w:rPr>
        <w:t>1</w:t>
      </w:r>
      <w:r w:rsidR="004B3750" w:rsidRPr="00E85219">
        <w:rPr>
          <w:b/>
          <w:bCs/>
          <w:snapToGrid w:val="0"/>
          <w:lang w:val="da-DK"/>
        </w:rPr>
        <w:noBreakHyphen/>
      </w:r>
      <w:r w:rsidRPr="00E85219">
        <w:rPr>
          <w:b/>
          <w:bCs/>
          <w:snapToGrid w:val="0"/>
          <w:lang w:val="da-DK"/>
        </w:rPr>
        <w:t>resultater efter sygdomsstadie og tumorreduktionsstatus fra studie GOG</w:t>
      </w:r>
      <w:r w:rsidR="004B3750" w:rsidRPr="00E85219">
        <w:rPr>
          <w:b/>
          <w:bCs/>
          <w:snapToGrid w:val="0"/>
          <w:lang w:val="da-DK"/>
        </w:rPr>
        <w:noBreakHyphen/>
      </w:r>
      <w:r w:rsidRPr="00E85219">
        <w:rPr>
          <w:b/>
          <w:bCs/>
          <w:snapToGrid w:val="0"/>
          <w:lang w:val="da-DK"/>
        </w:rPr>
        <w:t>0218</w:t>
      </w:r>
    </w:p>
    <w:p w14:paraId="6AF0263A" w14:textId="77777777" w:rsidR="003563EF" w:rsidRPr="00E85219" w:rsidRDefault="003563EF" w:rsidP="00E85219">
      <w:pPr>
        <w:pStyle w:val="a3"/>
        <w:keepNext/>
        <w:keepLines/>
        <w:widowControl/>
        <w:adjustRightInd w:val="0"/>
        <w:snapToGrid w:val="0"/>
        <w:rPr>
          <w:b/>
          <w:bCs/>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2087"/>
        <w:gridCol w:w="2086"/>
        <w:gridCol w:w="2087"/>
      </w:tblGrid>
      <w:tr w:rsidR="005B2923" w:rsidRPr="007E69C7" w14:paraId="443130E7" w14:textId="77777777" w:rsidTr="00F466A3">
        <w:trPr>
          <w:cantSplit/>
        </w:trPr>
        <w:tc>
          <w:tcPr>
            <w:tcW w:w="9292" w:type="dxa"/>
            <w:gridSpan w:val="4"/>
            <w:tcBorders>
              <w:bottom w:val="single" w:sz="4" w:space="0" w:color="auto"/>
            </w:tcBorders>
          </w:tcPr>
          <w:p w14:paraId="19F76D84" w14:textId="77777777" w:rsidR="005B2923" w:rsidRPr="001278B6" w:rsidRDefault="005B2923" w:rsidP="0092341E">
            <w:pPr>
              <w:pStyle w:val="TableParagraph"/>
              <w:keepNext/>
              <w:keepLines/>
              <w:widowControl/>
              <w:adjustRightInd w:val="0"/>
              <w:snapToGrid w:val="0"/>
              <w:rPr>
                <w:snapToGrid w:val="0"/>
                <w:sz w:val="20"/>
                <w:lang w:val="da-DK"/>
              </w:rPr>
            </w:pPr>
            <w:r w:rsidRPr="001278B6">
              <w:rPr>
                <w:snapToGrid w:val="0"/>
                <w:sz w:val="20"/>
                <w:lang w:val="da-DK"/>
              </w:rPr>
              <w:t xml:space="preserve">Randomiserede patienter med stadie III optimalt tumorreducer et sygdom </w:t>
            </w:r>
            <w:r w:rsidRPr="001278B6">
              <w:rPr>
                <w:snapToGrid w:val="0"/>
                <w:sz w:val="20"/>
                <w:vertAlign w:val="superscript"/>
                <w:lang w:val="da-DK"/>
              </w:rPr>
              <w:t>2,3</w:t>
            </w:r>
          </w:p>
        </w:tc>
      </w:tr>
      <w:tr w:rsidR="003563EF" w:rsidRPr="005476B6" w14:paraId="2CD55C90" w14:textId="77777777" w:rsidTr="00F466A3">
        <w:trPr>
          <w:cantSplit/>
        </w:trPr>
        <w:tc>
          <w:tcPr>
            <w:tcW w:w="2877" w:type="dxa"/>
            <w:tcBorders>
              <w:bottom w:val="single" w:sz="4" w:space="0" w:color="auto"/>
            </w:tcBorders>
          </w:tcPr>
          <w:p w14:paraId="2E2DE07E" w14:textId="77777777" w:rsidR="003563EF" w:rsidRPr="001278B6" w:rsidRDefault="003563EF" w:rsidP="0092341E">
            <w:pPr>
              <w:pStyle w:val="TableParagraph"/>
              <w:keepNext/>
              <w:keepLines/>
              <w:widowControl/>
              <w:adjustRightInd w:val="0"/>
              <w:snapToGrid w:val="0"/>
              <w:rPr>
                <w:snapToGrid w:val="0"/>
                <w:sz w:val="20"/>
                <w:lang w:val="da-DK"/>
              </w:rPr>
            </w:pPr>
          </w:p>
        </w:tc>
        <w:tc>
          <w:tcPr>
            <w:tcW w:w="2139" w:type="dxa"/>
            <w:tcBorders>
              <w:bottom w:val="single" w:sz="4" w:space="0" w:color="auto"/>
            </w:tcBorders>
          </w:tcPr>
          <w:p w14:paraId="3109FBB2"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CPP</w:t>
            </w:r>
          </w:p>
          <w:p w14:paraId="67099ECC"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219)</w:t>
            </w:r>
          </w:p>
        </w:tc>
        <w:tc>
          <w:tcPr>
            <w:tcW w:w="2137" w:type="dxa"/>
            <w:tcBorders>
              <w:bottom w:val="single" w:sz="4" w:space="0" w:color="auto"/>
            </w:tcBorders>
          </w:tcPr>
          <w:p w14:paraId="771DEEB8" w14:textId="77777777" w:rsidR="00AC30A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 xml:space="preserve">CPB15 </w:t>
            </w:r>
          </w:p>
          <w:p w14:paraId="525BF74A"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204)</w:t>
            </w:r>
          </w:p>
        </w:tc>
        <w:tc>
          <w:tcPr>
            <w:tcW w:w="2139" w:type="dxa"/>
            <w:tcBorders>
              <w:bottom w:val="single" w:sz="4" w:space="0" w:color="auto"/>
            </w:tcBorders>
          </w:tcPr>
          <w:p w14:paraId="2D2AA1D5"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CPB15+</w:t>
            </w:r>
          </w:p>
          <w:p w14:paraId="578F3AF3"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216)</w:t>
            </w:r>
          </w:p>
        </w:tc>
      </w:tr>
      <w:tr w:rsidR="003563EF" w:rsidRPr="005476B6" w14:paraId="02DEF07A" w14:textId="77777777" w:rsidTr="00F466A3">
        <w:trPr>
          <w:cantSplit/>
        </w:trPr>
        <w:tc>
          <w:tcPr>
            <w:tcW w:w="2877" w:type="dxa"/>
            <w:tcBorders>
              <w:top w:val="single" w:sz="4" w:space="0" w:color="auto"/>
              <w:bottom w:val="single" w:sz="4" w:space="0" w:color="auto"/>
            </w:tcBorders>
          </w:tcPr>
          <w:p w14:paraId="104CC374" w14:textId="77777777" w:rsidR="003563EF" w:rsidRPr="001278B6" w:rsidRDefault="00473235" w:rsidP="00051658">
            <w:pPr>
              <w:pStyle w:val="TableParagraph"/>
              <w:keepNext/>
              <w:keepLines/>
              <w:widowControl/>
              <w:adjustRightInd w:val="0"/>
              <w:snapToGrid w:val="0"/>
              <w:rPr>
                <w:snapToGrid w:val="0"/>
                <w:sz w:val="20"/>
                <w:lang w:val="da-DK"/>
              </w:rPr>
            </w:pPr>
            <w:r w:rsidRPr="001278B6">
              <w:rPr>
                <w:snapToGrid w:val="0"/>
                <w:sz w:val="20"/>
                <w:lang w:val="da-DK"/>
              </w:rPr>
              <w:t>Median PFS (måneder)</w:t>
            </w:r>
          </w:p>
        </w:tc>
        <w:tc>
          <w:tcPr>
            <w:tcW w:w="2139" w:type="dxa"/>
            <w:tcBorders>
              <w:top w:val="single" w:sz="4" w:space="0" w:color="auto"/>
              <w:bottom w:val="single" w:sz="4" w:space="0" w:color="auto"/>
            </w:tcBorders>
          </w:tcPr>
          <w:p w14:paraId="6BF2E306"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12,4</w:t>
            </w:r>
          </w:p>
        </w:tc>
        <w:tc>
          <w:tcPr>
            <w:tcW w:w="2137" w:type="dxa"/>
            <w:tcBorders>
              <w:top w:val="single" w:sz="4" w:space="0" w:color="auto"/>
              <w:bottom w:val="single" w:sz="4" w:space="0" w:color="auto"/>
            </w:tcBorders>
          </w:tcPr>
          <w:p w14:paraId="5FFC4B9F"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14,3</w:t>
            </w:r>
          </w:p>
        </w:tc>
        <w:tc>
          <w:tcPr>
            <w:tcW w:w="2139" w:type="dxa"/>
            <w:tcBorders>
              <w:top w:val="single" w:sz="4" w:space="0" w:color="auto"/>
              <w:bottom w:val="single" w:sz="4" w:space="0" w:color="auto"/>
            </w:tcBorders>
          </w:tcPr>
          <w:p w14:paraId="6CEE0912"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17,5</w:t>
            </w:r>
          </w:p>
        </w:tc>
      </w:tr>
      <w:tr w:rsidR="003563EF" w:rsidRPr="005476B6" w14:paraId="29C9630B" w14:textId="77777777" w:rsidTr="00F466A3">
        <w:trPr>
          <w:cantSplit/>
        </w:trPr>
        <w:tc>
          <w:tcPr>
            <w:tcW w:w="2877" w:type="dxa"/>
            <w:tcBorders>
              <w:top w:val="single" w:sz="4" w:space="0" w:color="auto"/>
            </w:tcBorders>
          </w:tcPr>
          <w:p w14:paraId="7F741710" w14:textId="77777777" w:rsidR="00096AD4" w:rsidRDefault="00473235" w:rsidP="00051658">
            <w:pPr>
              <w:pStyle w:val="TableParagraph"/>
              <w:keepNext/>
              <w:keepLines/>
              <w:widowControl/>
              <w:adjustRightInd w:val="0"/>
              <w:snapToGrid w:val="0"/>
              <w:rPr>
                <w:snapToGrid w:val="0"/>
                <w:sz w:val="20"/>
                <w:lang w:val="da-DK"/>
              </w:rPr>
            </w:pPr>
            <w:r w:rsidRPr="00096AD4">
              <w:rPr>
                <w:iCs/>
                <w:snapToGrid w:val="0"/>
                <w:sz w:val="20"/>
                <w:lang w:val="da-DK"/>
              </w:rPr>
              <w:t>Hazard ratio</w:t>
            </w:r>
            <w:r w:rsidRPr="001278B6">
              <w:rPr>
                <w:snapToGrid w:val="0"/>
                <w:sz w:val="20"/>
                <w:lang w:val="da-DK"/>
              </w:rPr>
              <w:t xml:space="preserve"> </w:t>
            </w:r>
          </w:p>
          <w:p w14:paraId="3DBC3264" w14:textId="0B3B5D39" w:rsidR="003563EF" w:rsidRPr="001278B6" w:rsidRDefault="00473235" w:rsidP="00051658">
            <w:pPr>
              <w:pStyle w:val="TableParagraph"/>
              <w:keepNext/>
              <w:keepLines/>
              <w:widowControl/>
              <w:adjustRightInd w:val="0"/>
              <w:snapToGrid w:val="0"/>
              <w:rPr>
                <w:snapToGrid w:val="0"/>
                <w:sz w:val="20"/>
                <w:lang w:val="da-DK"/>
              </w:rPr>
            </w:pPr>
            <w:r w:rsidRPr="001278B6">
              <w:rPr>
                <w:snapToGrid w:val="0"/>
                <w:sz w:val="20"/>
                <w:lang w:val="da-DK"/>
              </w:rPr>
              <w:t>(95 % konfidensinterval)</w:t>
            </w:r>
            <w:r w:rsidRPr="001278B6">
              <w:rPr>
                <w:snapToGrid w:val="0"/>
                <w:sz w:val="20"/>
                <w:vertAlign w:val="superscript"/>
                <w:lang w:val="da-DK"/>
              </w:rPr>
              <w:t>4</w:t>
            </w:r>
          </w:p>
        </w:tc>
        <w:tc>
          <w:tcPr>
            <w:tcW w:w="2139" w:type="dxa"/>
            <w:tcBorders>
              <w:top w:val="single" w:sz="4" w:space="0" w:color="auto"/>
            </w:tcBorders>
          </w:tcPr>
          <w:p w14:paraId="77E5F766" w14:textId="77777777" w:rsidR="003563EF" w:rsidRPr="001278B6" w:rsidRDefault="003563EF" w:rsidP="00051658">
            <w:pPr>
              <w:pStyle w:val="TableParagraph"/>
              <w:keepNext/>
              <w:keepLines/>
              <w:widowControl/>
              <w:adjustRightInd w:val="0"/>
              <w:snapToGrid w:val="0"/>
              <w:rPr>
                <w:snapToGrid w:val="0"/>
                <w:sz w:val="20"/>
                <w:lang w:val="da-DK"/>
              </w:rPr>
            </w:pPr>
          </w:p>
        </w:tc>
        <w:tc>
          <w:tcPr>
            <w:tcW w:w="2137" w:type="dxa"/>
            <w:tcBorders>
              <w:top w:val="single" w:sz="4" w:space="0" w:color="auto"/>
            </w:tcBorders>
          </w:tcPr>
          <w:p w14:paraId="4C51096D"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0,81</w:t>
            </w:r>
          </w:p>
          <w:p w14:paraId="5BE380B9"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(0,62</w:t>
            </w:r>
            <w:r w:rsidR="004B3750">
              <w:rPr>
                <w:snapToGrid w:val="0"/>
                <w:sz w:val="20"/>
                <w:lang w:val="da-DK"/>
              </w:rPr>
              <w:noBreakHyphen/>
            </w:r>
            <w:r w:rsidRPr="001278B6">
              <w:rPr>
                <w:snapToGrid w:val="0"/>
                <w:sz w:val="20"/>
                <w:lang w:val="da-DK"/>
              </w:rPr>
              <w:t>1,05)</w:t>
            </w:r>
          </w:p>
        </w:tc>
        <w:tc>
          <w:tcPr>
            <w:tcW w:w="2139" w:type="dxa"/>
            <w:tcBorders>
              <w:top w:val="single" w:sz="4" w:space="0" w:color="auto"/>
            </w:tcBorders>
          </w:tcPr>
          <w:p w14:paraId="41CE2926"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0,66</w:t>
            </w:r>
          </w:p>
          <w:p w14:paraId="1D0D7EE2"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(0,50</w:t>
            </w:r>
            <w:r w:rsidR="004B3750">
              <w:rPr>
                <w:snapToGrid w:val="0"/>
                <w:sz w:val="20"/>
                <w:lang w:val="da-DK"/>
              </w:rPr>
              <w:noBreakHyphen/>
            </w:r>
            <w:r w:rsidRPr="001278B6">
              <w:rPr>
                <w:snapToGrid w:val="0"/>
                <w:sz w:val="20"/>
                <w:lang w:val="da-DK"/>
              </w:rPr>
              <w:t>0,86)</w:t>
            </w:r>
          </w:p>
        </w:tc>
      </w:tr>
      <w:tr w:rsidR="00A073B1" w:rsidRPr="007E69C7" w14:paraId="6E13DD59" w14:textId="77777777" w:rsidTr="00F466A3">
        <w:trPr>
          <w:cantSplit/>
        </w:trPr>
        <w:tc>
          <w:tcPr>
            <w:tcW w:w="9292" w:type="dxa"/>
            <w:gridSpan w:val="4"/>
            <w:tcBorders>
              <w:bottom w:val="single" w:sz="4" w:space="0" w:color="auto"/>
            </w:tcBorders>
          </w:tcPr>
          <w:p w14:paraId="2DE966A7" w14:textId="77777777" w:rsidR="00A073B1" w:rsidRPr="001278B6" w:rsidRDefault="00A073B1" w:rsidP="001278B6">
            <w:pPr>
              <w:pStyle w:val="TableParagraph"/>
              <w:keepNext/>
              <w:keepLines/>
              <w:widowControl/>
              <w:adjustRightInd w:val="0"/>
              <w:snapToGrid w:val="0"/>
              <w:rPr>
                <w:snapToGrid w:val="0"/>
                <w:sz w:val="20"/>
                <w:lang w:val="da-DK"/>
              </w:rPr>
            </w:pPr>
            <w:r w:rsidRPr="001278B6">
              <w:rPr>
                <w:snapToGrid w:val="0"/>
                <w:sz w:val="20"/>
                <w:lang w:val="da-DK"/>
              </w:rPr>
              <w:t>Randomiserede patienter med stadie III sub</w:t>
            </w:r>
            <w:r w:rsidR="004B3750">
              <w:rPr>
                <w:snapToGrid w:val="0"/>
                <w:sz w:val="20"/>
                <w:lang w:val="da-DK"/>
              </w:rPr>
              <w:noBreakHyphen/>
            </w:r>
            <w:r w:rsidRPr="001278B6">
              <w:rPr>
                <w:snapToGrid w:val="0"/>
                <w:sz w:val="20"/>
                <w:lang w:val="da-DK"/>
              </w:rPr>
              <w:t>optimalt tumorreduceret sygdom</w:t>
            </w:r>
            <w:r w:rsidRPr="001278B6">
              <w:rPr>
                <w:snapToGrid w:val="0"/>
                <w:sz w:val="20"/>
                <w:vertAlign w:val="superscript"/>
                <w:lang w:val="da-DK"/>
              </w:rPr>
              <w:t>3</w:t>
            </w:r>
          </w:p>
        </w:tc>
      </w:tr>
      <w:tr w:rsidR="003563EF" w:rsidRPr="005476B6" w14:paraId="52FEA4A2" w14:textId="77777777" w:rsidTr="00F466A3">
        <w:trPr>
          <w:cantSplit/>
        </w:trPr>
        <w:tc>
          <w:tcPr>
            <w:tcW w:w="2877" w:type="dxa"/>
            <w:tcBorders>
              <w:bottom w:val="single" w:sz="4" w:space="0" w:color="auto"/>
            </w:tcBorders>
          </w:tcPr>
          <w:p w14:paraId="0B1F8085" w14:textId="77777777" w:rsidR="003563EF" w:rsidRPr="001278B6" w:rsidRDefault="003563EF" w:rsidP="001278B6">
            <w:pPr>
              <w:pStyle w:val="TableParagraph"/>
              <w:widowControl/>
              <w:adjustRightInd w:val="0"/>
              <w:snapToGrid w:val="0"/>
              <w:rPr>
                <w:snapToGrid w:val="0"/>
                <w:sz w:val="20"/>
                <w:lang w:val="da-DK"/>
              </w:rPr>
            </w:pPr>
          </w:p>
        </w:tc>
        <w:tc>
          <w:tcPr>
            <w:tcW w:w="2139" w:type="dxa"/>
            <w:tcBorders>
              <w:bottom w:val="single" w:sz="4" w:space="0" w:color="auto"/>
            </w:tcBorders>
          </w:tcPr>
          <w:p w14:paraId="5292120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CPP</w:t>
            </w:r>
          </w:p>
          <w:p w14:paraId="48CB959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253)</w:t>
            </w:r>
          </w:p>
        </w:tc>
        <w:tc>
          <w:tcPr>
            <w:tcW w:w="2137" w:type="dxa"/>
            <w:tcBorders>
              <w:bottom w:val="single" w:sz="4" w:space="0" w:color="auto"/>
            </w:tcBorders>
          </w:tcPr>
          <w:p w14:paraId="4536173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CPB15</w:t>
            </w:r>
          </w:p>
          <w:p w14:paraId="4725B1F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256)</w:t>
            </w:r>
          </w:p>
        </w:tc>
        <w:tc>
          <w:tcPr>
            <w:tcW w:w="2139" w:type="dxa"/>
            <w:tcBorders>
              <w:bottom w:val="single" w:sz="4" w:space="0" w:color="auto"/>
            </w:tcBorders>
          </w:tcPr>
          <w:p w14:paraId="0C29E6F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CPB15+</w:t>
            </w:r>
          </w:p>
          <w:p w14:paraId="3E8D6F9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r>
      <w:tr w:rsidR="003563EF" w:rsidRPr="005476B6" w14:paraId="5863ED87" w14:textId="77777777" w:rsidTr="00F466A3">
        <w:trPr>
          <w:cantSplit/>
        </w:trPr>
        <w:tc>
          <w:tcPr>
            <w:tcW w:w="2877" w:type="dxa"/>
            <w:tcBorders>
              <w:top w:val="single" w:sz="4" w:space="0" w:color="auto"/>
              <w:bottom w:val="single" w:sz="4" w:space="0" w:color="auto"/>
            </w:tcBorders>
          </w:tcPr>
          <w:p w14:paraId="0DFEBE36"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PFS (måneder)</w:t>
            </w:r>
          </w:p>
        </w:tc>
        <w:tc>
          <w:tcPr>
            <w:tcW w:w="2139" w:type="dxa"/>
            <w:tcBorders>
              <w:top w:val="single" w:sz="4" w:space="0" w:color="auto"/>
              <w:bottom w:val="single" w:sz="4" w:space="0" w:color="auto"/>
            </w:tcBorders>
          </w:tcPr>
          <w:p w14:paraId="00D3CB8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10,1</w:t>
            </w:r>
          </w:p>
        </w:tc>
        <w:tc>
          <w:tcPr>
            <w:tcW w:w="2137" w:type="dxa"/>
            <w:tcBorders>
              <w:top w:val="single" w:sz="4" w:space="0" w:color="auto"/>
              <w:bottom w:val="single" w:sz="4" w:space="0" w:color="auto"/>
            </w:tcBorders>
          </w:tcPr>
          <w:p w14:paraId="5834A0F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10,9</w:t>
            </w:r>
          </w:p>
        </w:tc>
        <w:tc>
          <w:tcPr>
            <w:tcW w:w="2139" w:type="dxa"/>
            <w:tcBorders>
              <w:top w:val="single" w:sz="4" w:space="0" w:color="auto"/>
              <w:bottom w:val="single" w:sz="4" w:space="0" w:color="auto"/>
            </w:tcBorders>
          </w:tcPr>
          <w:p w14:paraId="760FD4C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13,9</w:t>
            </w:r>
          </w:p>
        </w:tc>
      </w:tr>
      <w:tr w:rsidR="003563EF" w:rsidRPr="005476B6" w14:paraId="13DC147D" w14:textId="77777777" w:rsidTr="00F466A3">
        <w:trPr>
          <w:cantSplit/>
        </w:trPr>
        <w:tc>
          <w:tcPr>
            <w:tcW w:w="2877" w:type="dxa"/>
            <w:tcBorders>
              <w:top w:val="single" w:sz="4" w:space="0" w:color="auto"/>
            </w:tcBorders>
          </w:tcPr>
          <w:p w14:paraId="06C6947E" w14:textId="77777777" w:rsidR="00096AD4" w:rsidRDefault="00473235" w:rsidP="001278B6">
            <w:pPr>
              <w:pStyle w:val="TableParagraph"/>
              <w:widowControl/>
              <w:adjustRightInd w:val="0"/>
              <w:snapToGrid w:val="0"/>
              <w:rPr>
                <w:snapToGrid w:val="0"/>
                <w:sz w:val="20"/>
                <w:lang w:val="da-DK"/>
              </w:rPr>
            </w:pPr>
            <w:r w:rsidRPr="00096AD4">
              <w:rPr>
                <w:iCs/>
                <w:snapToGrid w:val="0"/>
                <w:sz w:val="20"/>
                <w:lang w:val="da-DK"/>
              </w:rPr>
              <w:t>Hazard</w:t>
            </w:r>
            <w:r w:rsidRPr="001278B6">
              <w:rPr>
                <w:i/>
                <w:snapToGrid w:val="0"/>
                <w:sz w:val="20"/>
                <w:lang w:val="da-DK"/>
              </w:rPr>
              <w:t xml:space="preserve"> </w:t>
            </w:r>
            <w:r w:rsidRPr="001278B6">
              <w:rPr>
                <w:snapToGrid w:val="0"/>
                <w:sz w:val="20"/>
                <w:lang w:val="da-DK"/>
              </w:rPr>
              <w:t xml:space="preserve">ratio </w:t>
            </w:r>
          </w:p>
          <w:p w14:paraId="0C9C3647" w14:textId="0D516619"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(95 % konfidensinterval)</w:t>
            </w:r>
            <w:r w:rsidRPr="001278B6">
              <w:rPr>
                <w:snapToGrid w:val="0"/>
                <w:sz w:val="20"/>
                <w:vertAlign w:val="superscript"/>
                <w:lang w:val="da-DK"/>
              </w:rPr>
              <w:t>4</w:t>
            </w:r>
          </w:p>
        </w:tc>
        <w:tc>
          <w:tcPr>
            <w:tcW w:w="2139" w:type="dxa"/>
            <w:tcBorders>
              <w:top w:val="single" w:sz="4" w:space="0" w:color="auto"/>
            </w:tcBorders>
          </w:tcPr>
          <w:p w14:paraId="5FDAFA4A" w14:textId="77777777" w:rsidR="003563EF" w:rsidRPr="001278B6" w:rsidRDefault="003563EF" w:rsidP="001278B6">
            <w:pPr>
              <w:pStyle w:val="TableParagraph"/>
              <w:widowControl/>
              <w:adjustRightInd w:val="0"/>
              <w:snapToGrid w:val="0"/>
              <w:rPr>
                <w:snapToGrid w:val="0"/>
                <w:sz w:val="20"/>
                <w:lang w:val="da-DK"/>
              </w:rPr>
            </w:pPr>
          </w:p>
        </w:tc>
        <w:tc>
          <w:tcPr>
            <w:tcW w:w="2137" w:type="dxa"/>
            <w:tcBorders>
              <w:top w:val="single" w:sz="4" w:space="0" w:color="auto"/>
            </w:tcBorders>
          </w:tcPr>
          <w:p w14:paraId="6EC0C11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0,93</w:t>
            </w:r>
          </w:p>
          <w:p w14:paraId="73BBC7B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(0,77</w:t>
            </w:r>
            <w:r w:rsidR="004B3750">
              <w:rPr>
                <w:snapToGrid w:val="0"/>
                <w:sz w:val="20"/>
                <w:lang w:val="da-DK"/>
              </w:rPr>
              <w:noBreakHyphen/>
            </w:r>
            <w:r w:rsidRPr="001278B6">
              <w:rPr>
                <w:snapToGrid w:val="0"/>
                <w:sz w:val="20"/>
                <w:lang w:val="da-DK"/>
              </w:rPr>
              <w:t>1,14)</w:t>
            </w:r>
          </w:p>
        </w:tc>
        <w:tc>
          <w:tcPr>
            <w:tcW w:w="2139" w:type="dxa"/>
            <w:tcBorders>
              <w:top w:val="single" w:sz="4" w:space="0" w:color="auto"/>
            </w:tcBorders>
          </w:tcPr>
          <w:p w14:paraId="05E9EB8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0,78</w:t>
            </w:r>
          </w:p>
          <w:p w14:paraId="79FDACD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(0,63</w:t>
            </w:r>
            <w:r w:rsidR="004B3750">
              <w:rPr>
                <w:snapToGrid w:val="0"/>
                <w:sz w:val="20"/>
                <w:lang w:val="da-DK"/>
              </w:rPr>
              <w:noBreakHyphen/>
            </w:r>
            <w:r w:rsidRPr="001278B6">
              <w:rPr>
                <w:snapToGrid w:val="0"/>
                <w:sz w:val="20"/>
                <w:lang w:val="da-DK"/>
              </w:rPr>
              <w:t>0,96)</w:t>
            </w:r>
          </w:p>
        </w:tc>
      </w:tr>
      <w:tr w:rsidR="00675D5B" w:rsidRPr="007E69C7" w14:paraId="2082E8DC" w14:textId="77777777" w:rsidTr="00F466A3">
        <w:trPr>
          <w:cantSplit/>
        </w:trPr>
        <w:tc>
          <w:tcPr>
            <w:tcW w:w="9292" w:type="dxa"/>
            <w:gridSpan w:val="4"/>
            <w:tcBorders>
              <w:bottom w:val="single" w:sz="4" w:space="0" w:color="auto"/>
            </w:tcBorders>
          </w:tcPr>
          <w:p w14:paraId="7D0AC05F" w14:textId="77777777" w:rsidR="00675D5B" w:rsidRPr="001278B6" w:rsidRDefault="00675D5B" w:rsidP="001278B6">
            <w:pPr>
              <w:pStyle w:val="TableParagraph"/>
              <w:keepNext/>
              <w:keepLines/>
              <w:widowControl/>
              <w:adjustRightInd w:val="0"/>
              <w:snapToGrid w:val="0"/>
              <w:rPr>
                <w:snapToGrid w:val="0"/>
                <w:sz w:val="20"/>
                <w:lang w:val="da-DK"/>
              </w:rPr>
            </w:pPr>
            <w:r w:rsidRPr="001278B6">
              <w:rPr>
                <w:snapToGrid w:val="0"/>
                <w:sz w:val="20"/>
                <w:lang w:val="da-DK"/>
              </w:rPr>
              <w:t>Randomiserede patienter med stadie IV</w:t>
            </w:r>
            <w:r w:rsidR="004B3750">
              <w:rPr>
                <w:snapToGrid w:val="0"/>
                <w:sz w:val="20"/>
                <w:lang w:val="da-DK"/>
              </w:rPr>
              <w:noBreakHyphen/>
            </w:r>
            <w:r w:rsidRPr="001278B6">
              <w:rPr>
                <w:snapToGrid w:val="0"/>
                <w:sz w:val="20"/>
                <w:lang w:val="da-DK"/>
              </w:rPr>
              <w:t>sygdom</w:t>
            </w:r>
          </w:p>
        </w:tc>
      </w:tr>
      <w:tr w:rsidR="003563EF" w:rsidRPr="005476B6" w14:paraId="484054AD" w14:textId="77777777" w:rsidTr="00F466A3">
        <w:trPr>
          <w:cantSplit/>
        </w:trPr>
        <w:tc>
          <w:tcPr>
            <w:tcW w:w="2877" w:type="dxa"/>
            <w:tcBorders>
              <w:bottom w:val="single" w:sz="4" w:space="0" w:color="auto"/>
            </w:tcBorders>
          </w:tcPr>
          <w:p w14:paraId="592C0C93" w14:textId="77777777" w:rsidR="003563EF" w:rsidRPr="001278B6" w:rsidRDefault="003563EF" w:rsidP="001278B6">
            <w:pPr>
              <w:pStyle w:val="TableParagraph"/>
              <w:widowControl/>
              <w:adjustRightInd w:val="0"/>
              <w:snapToGrid w:val="0"/>
              <w:rPr>
                <w:snapToGrid w:val="0"/>
                <w:sz w:val="20"/>
                <w:lang w:val="da-DK"/>
              </w:rPr>
            </w:pPr>
          </w:p>
        </w:tc>
        <w:tc>
          <w:tcPr>
            <w:tcW w:w="2139" w:type="dxa"/>
            <w:tcBorders>
              <w:bottom w:val="single" w:sz="4" w:space="0" w:color="auto"/>
            </w:tcBorders>
          </w:tcPr>
          <w:p w14:paraId="09EB3647" w14:textId="77777777" w:rsidR="00AC30A6" w:rsidRDefault="00473235">
            <w:pPr>
              <w:pStyle w:val="TableParagraph"/>
              <w:widowControl/>
              <w:adjustRightInd w:val="0"/>
              <w:snapToGrid w:val="0"/>
              <w:jc w:val="center"/>
              <w:rPr>
                <w:snapToGrid w:val="0"/>
                <w:sz w:val="20"/>
                <w:lang w:val="da-DK"/>
              </w:rPr>
            </w:pPr>
            <w:r w:rsidRPr="001278B6">
              <w:rPr>
                <w:snapToGrid w:val="0"/>
                <w:sz w:val="20"/>
                <w:lang w:val="da-DK"/>
              </w:rPr>
              <w:t xml:space="preserve">CPP </w:t>
            </w:r>
          </w:p>
          <w:p w14:paraId="1F8DF13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153)</w:t>
            </w:r>
          </w:p>
        </w:tc>
        <w:tc>
          <w:tcPr>
            <w:tcW w:w="2137" w:type="dxa"/>
            <w:tcBorders>
              <w:bottom w:val="single" w:sz="4" w:space="0" w:color="auto"/>
            </w:tcBorders>
          </w:tcPr>
          <w:p w14:paraId="236BF0B9" w14:textId="77777777" w:rsidR="00AC30A6" w:rsidRDefault="00473235">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7EFEBAF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165)</w:t>
            </w:r>
          </w:p>
        </w:tc>
        <w:tc>
          <w:tcPr>
            <w:tcW w:w="2139" w:type="dxa"/>
            <w:tcBorders>
              <w:bottom w:val="single" w:sz="4" w:space="0" w:color="auto"/>
            </w:tcBorders>
          </w:tcPr>
          <w:p w14:paraId="0D570300" w14:textId="77777777" w:rsidR="00AC30A6" w:rsidRDefault="00473235">
            <w:pPr>
              <w:pStyle w:val="TableParagraph"/>
              <w:widowControl/>
              <w:adjustRightInd w:val="0"/>
              <w:snapToGrid w:val="0"/>
              <w:jc w:val="center"/>
              <w:rPr>
                <w:snapToGrid w:val="0"/>
                <w:sz w:val="20"/>
                <w:lang w:val="da-DK"/>
              </w:rPr>
            </w:pPr>
            <w:r w:rsidRPr="001278B6">
              <w:rPr>
                <w:snapToGrid w:val="0"/>
                <w:sz w:val="20"/>
                <w:lang w:val="da-DK"/>
              </w:rPr>
              <w:t xml:space="preserve">CPB15+ </w:t>
            </w:r>
          </w:p>
          <w:p w14:paraId="5E1AE14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165)</w:t>
            </w:r>
          </w:p>
        </w:tc>
      </w:tr>
      <w:tr w:rsidR="003563EF" w:rsidRPr="005476B6" w14:paraId="32FA1D1E" w14:textId="77777777" w:rsidTr="00F466A3">
        <w:trPr>
          <w:cantSplit/>
        </w:trPr>
        <w:tc>
          <w:tcPr>
            <w:tcW w:w="2877" w:type="dxa"/>
            <w:tcBorders>
              <w:top w:val="single" w:sz="4" w:space="0" w:color="auto"/>
              <w:bottom w:val="single" w:sz="4" w:space="0" w:color="auto"/>
            </w:tcBorders>
          </w:tcPr>
          <w:p w14:paraId="66FD576C"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PFS (måneder)</w:t>
            </w:r>
          </w:p>
        </w:tc>
        <w:tc>
          <w:tcPr>
            <w:tcW w:w="2139" w:type="dxa"/>
            <w:tcBorders>
              <w:top w:val="single" w:sz="4" w:space="0" w:color="auto"/>
              <w:bottom w:val="single" w:sz="4" w:space="0" w:color="auto"/>
            </w:tcBorders>
          </w:tcPr>
          <w:p w14:paraId="200FBDA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9,5</w:t>
            </w:r>
          </w:p>
        </w:tc>
        <w:tc>
          <w:tcPr>
            <w:tcW w:w="2137" w:type="dxa"/>
            <w:tcBorders>
              <w:top w:val="single" w:sz="4" w:space="0" w:color="auto"/>
              <w:bottom w:val="single" w:sz="4" w:space="0" w:color="auto"/>
            </w:tcBorders>
          </w:tcPr>
          <w:p w14:paraId="16EA727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10,4</w:t>
            </w:r>
          </w:p>
        </w:tc>
        <w:tc>
          <w:tcPr>
            <w:tcW w:w="2139" w:type="dxa"/>
            <w:tcBorders>
              <w:top w:val="single" w:sz="4" w:space="0" w:color="auto"/>
              <w:bottom w:val="single" w:sz="4" w:space="0" w:color="auto"/>
            </w:tcBorders>
          </w:tcPr>
          <w:p w14:paraId="3B36738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12,8</w:t>
            </w:r>
          </w:p>
        </w:tc>
      </w:tr>
      <w:tr w:rsidR="003563EF" w:rsidRPr="005476B6" w14:paraId="2B025449" w14:textId="77777777" w:rsidTr="00F466A3">
        <w:trPr>
          <w:cantSplit/>
        </w:trPr>
        <w:tc>
          <w:tcPr>
            <w:tcW w:w="2877" w:type="dxa"/>
            <w:tcBorders>
              <w:top w:val="single" w:sz="4" w:space="0" w:color="auto"/>
            </w:tcBorders>
          </w:tcPr>
          <w:p w14:paraId="633F4545" w14:textId="77777777" w:rsidR="00096AD4" w:rsidRDefault="00473235" w:rsidP="00096AD4">
            <w:pPr>
              <w:pStyle w:val="TableParagraph"/>
              <w:widowControl/>
              <w:adjustRightInd w:val="0"/>
              <w:snapToGrid w:val="0"/>
              <w:rPr>
                <w:snapToGrid w:val="0"/>
                <w:sz w:val="20"/>
                <w:lang w:val="da-DK"/>
              </w:rPr>
            </w:pPr>
            <w:r w:rsidRPr="00096AD4">
              <w:rPr>
                <w:iCs/>
                <w:snapToGrid w:val="0"/>
                <w:sz w:val="20"/>
                <w:lang w:val="da-DK"/>
              </w:rPr>
              <w:t>Hazard</w:t>
            </w:r>
            <w:r w:rsidRPr="001278B6">
              <w:rPr>
                <w:i/>
                <w:snapToGrid w:val="0"/>
                <w:sz w:val="20"/>
                <w:lang w:val="da-DK"/>
              </w:rPr>
              <w:t xml:space="preserve"> </w:t>
            </w:r>
            <w:r w:rsidRPr="001278B6">
              <w:rPr>
                <w:snapToGrid w:val="0"/>
                <w:sz w:val="20"/>
                <w:lang w:val="da-DK"/>
              </w:rPr>
              <w:t xml:space="preserve">ratio </w:t>
            </w:r>
          </w:p>
          <w:p w14:paraId="5075EDB1" w14:textId="05A9EEEA" w:rsidR="003563EF" w:rsidRPr="001278B6" w:rsidRDefault="00473235" w:rsidP="00096AD4">
            <w:pPr>
              <w:pStyle w:val="TableParagraph"/>
              <w:widowControl/>
              <w:adjustRightInd w:val="0"/>
              <w:snapToGrid w:val="0"/>
              <w:rPr>
                <w:snapToGrid w:val="0"/>
                <w:sz w:val="20"/>
                <w:lang w:val="da-DK"/>
              </w:rPr>
            </w:pPr>
            <w:r w:rsidRPr="001278B6">
              <w:rPr>
                <w:snapToGrid w:val="0"/>
                <w:sz w:val="20"/>
                <w:lang w:val="da-DK"/>
              </w:rPr>
              <w:t>(95 %</w:t>
            </w:r>
            <w:r w:rsidR="00096AD4">
              <w:rPr>
                <w:snapToGrid w:val="0"/>
                <w:sz w:val="20"/>
                <w:lang w:val="da-DK"/>
              </w:rPr>
              <w:t xml:space="preserve"> </w:t>
            </w:r>
            <w:r w:rsidRPr="001278B6">
              <w:rPr>
                <w:snapToGrid w:val="0"/>
                <w:sz w:val="20"/>
                <w:lang w:val="da-DK"/>
              </w:rPr>
              <w:t>konfidensinterval)</w:t>
            </w:r>
            <w:r w:rsidRPr="001278B6">
              <w:rPr>
                <w:snapToGrid w:val="0"/>
                <w:sz w:val="20"/>
                <w:vertAlign w:val="superscript"/>
                <w:lang w:val="da-DK"/>
              </w:rPr>
              <w:t>4</w:t>
            </w:r>
          </w:p>
        </w:tc>
        <w:tc>
          <w:tcPr>
            <w:tcW w:w="2139" w:type="dxa"/>
            <w:tcBorders>
              <w:top w:val="single" w:sz="4" w:space="0" w:color="auto"/>
            </w:tcBorders>
          </w:tcPr>
          <w:p w14:paraId="572C72C5" w14:textId="77777777" w:rsidR="003563EF" w:rsidRPr="001278B6" w:rsidRDefault="003563EF" w:rsidP="001278B6">
            <w:pPr>
              <w:pStyle w:val="TableParagraph"/>
              <w:widowControl/>
              <w:adjustRightInd w:val="0"/>
              <w:snapToGrid w:val="0"/>
              <w:rPr>
                <w:snapToGrid w:val="0"/>
                <w:sz w:val="20"/>
                <w:lang w:val="da-DK"/>
              </w:rPr>
            </w:pPr>
          </w:p>
        </w:tc>
        <w:tc>
          <w:tcPr>
            <w:tcW w:w="2137" w:type="dxa"/>
            <w:tcBorders>
              <w:top w:val="single" w:sz="4" w:space="0" w:color="auto"/>
            </w:tcBorders>
          </w:tcPr>
          <w:p w14:paraId="5F3BD6B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0,90</w:t>
            </w:r>
          </w:p>
          <w:p w14:paraId="15AA157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(0,70</w:t>
            </w:r>
            <w:r w:rsidR="004B3750">
              <w:rPr>
                <w:snapToGrid w:val="0"/>
                <w:sz w:val="20"/>
                <w:lang w:val="da-DK"/>
              </w:rPr>
              <w:noBreakHyphen/>
            </w:r>
            <w:r w:rsidRPr="001278B6">
              <w:rPr>
                <w:snapToGrid w:val="0"/>
                <w:sz w:val="20"/>
                <w:lang w:val="da-DK"/>
              </w:rPr>
              <w:t>1,16)</w:t>
            </w:r>
          </w:p>
        </w:tc>
        <w:tc>
          <w:tcPr>
            <w:tcW w:w="2139" w:type="dxa"/>
            <w:tcBorders>
              <w:top w:val="single" w:sz="4" w:space="0" w:color="auto"/>
            </w:tcBorders>
          </w:tcPr>
          <w:p w14:paraId="3905181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0,64</w:t>
            </w:r>
          </w:p>
          <w:p w14:paraId="13792EB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(0,49</w:t>
            </w:r>
            <w:r w:rsidR="004B3750">
              <w:rPr>
                <w:snapToGrid w:val="0"/>
                <w:sz w:val="20"/>
                <w:lang w:val="da-DK"/>
              </w:rPr>
              <w:noBreakHyphen/>
            </w:r>
            <w:r w:rsidRPr="001278B6">
              <w:rPr>
                <w:snapToGrid w:val="0"/>
                <w:sz w:val="20"/>
                <w:lang w:val="da-DK"/>
              </w:rPr>
              <w:t>0,82)</w:t>
            </w:r>
          </w:p>
        </w:tc>
      </w:tr>
    </w:tbl>
    <w:p w14:paraId="13684FA3"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1</w:t>
      </w:r>
      <w:r w:rsidRPr="001278B6">
        <w:rPr>
          <w:snapToGrid w:val="0"/>
          <w:sz w:val="18"/>
          <w:szCs w:val="18"/>
          <w:lang w:val="da-DK"/>
        </w:rPr>
        <w:t xml:space="preserve"> Investigatorvurderet GOG</w:t>
      </w:r>
      <w:r w:rsidR="004B3750">
        <w:rPr>
          <w:snapToGrid w:val="0"/>
          <w:sz w:val="18"/>
          <w:szCs w:val="18"/>
          <w:lang w:val="da-DK"/>
        </w:rPr>
        <w:noBreakHyphen/>
      </w:r>
      <w:r w:rsidRPr="001278B6">
        <w:rPr>
          <w:snapToGrid w:val="0"/>
          <w:sz w:val="18"/>
          <w:szCs w:val="18"/>
          <w:lang w:val="da-DK"/>
        </w:rPr>
        <w:t>protokolspecificeret PFS</w:t>
      </w:r>
      <w:r w:rsidR="004B3750">
        <w:rPr>
          <w:snapToGrid w:val="0"/>
          <w:sz w:val="18"/>
          <w:szCs w:val="18"/>
          <w:lang w:val="da-DK"/>
        </w:rPr>
        <w:noBreakHyphen/>
      </w:r>
      <w:r w:rsidRPr="001278B6">
        <w:rPr>
          <w:snapToGrid w:val="0"/>
          <w:sz w:val="18"/>
          <w:szCs w:val="18"/>
          <w:lang w:val="da-DK"/>
        </w:rPr>
        <w:t>analyse (hverken censureret for CA</w:t>
      </w:r>
      <w:r w:rsidR="004B3750">
        <w:rPr>
          <w:snapToGrid w:val="0"/>
          <w:sz w:val="18"/>
          <w:szCs w:val="18"/>
          <w:lang w:val="da-DK"/>
        </w:rPr>
        <w:noBreakHyphen/>
      </w:r>
      <w:r w:rsidRPr="001278B6">
        <w:rPr>
          <w:snapToGrid w:val="0"/>
          <w:sz w:val="18"/>
          <w:szCs w:val="18"/>
          <w:lang w:val="da-DK"/>
        </w:rPr>
        <w:t>125</w:t>
      </w:r>
      <w:r w:rsidR="004B3750">
        <w:rPr>
          <w:snapToGrid w:val="0"/>
          <w:sz w:val="18"/>
          <w:szCs w:val="18"/>
          <w:lang w:val="da-DK"/>
        </w:rPr>
        <w:noBreakHyphen/>
      </w:r>
      <w:r w:rsidRPr="001278B6">
        <w:rPr>
          <w:snapToGrid w:val="0"/>
          <w:sz w:val="18"/>
          <w:szCs w:val="18"/>
          <w:lang w:val="da-DK"/>
        </w:rPr>
        <w:t>progressioner eller censureret for NPT før sygdomsprogression) med data</w:t>
      </w:r>
      <w:r w:rsidR="004B3750">
        <w:rPr>
          <w:snapToGrid w:val="0"/>
          <w:sz w:val="18"/>
          <w:szCs w:val="18"/>
          <w:lang w:val="da-DK"/>
        </w:rPr>
        <w:noBreakHyphen/>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den 25. februar 2010.</w:t>
      </w:r>
    </w:p>
    <w:p w14:paraId="23C3CEE6"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2</w:t>
      </w:r>
      <w:r w:rsidRPr="001278B6">
        <w:rPr>
          <w:snapToGrid w:val="0"/>
          <w:sz w:val="18"/>
          <w:szCs w:val="18"/>
          <w:lang w:val="da-DK"/>
        </w:rPr>
        <w:t xml:space="preserve"> Med makroskopisk residualsygdom.</w:t>
      </w:r>
    </w:p>
    <w:p w14:paraId="29E50740"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3</w:t>
      </w:r>
      <w:r w:rsidRPr="001278B6">
        <w:rPr>
          <w:snapToGrid w:val="0"/>
          <w:sz w:val="18"/>
          <w:szCs w:val="18"/>
          <w:lang w:val="da-DK"/>
        </w:rPr>
        <w:t xml:space="preserve"> 3,7 % af den samlede randomiserede patientpopulation havde stadium III B</w:t>
      </w:r>
      <w:r w:rsidR="004B3750">
        <w:rPr>
          <w:snapToGrid w:val="0"/>
          <w:sz w:val="18"/>
          <w:szCs w:val="18"/>
          <w:lang w:val="da-DK"/>
        </w:rPr>
        <w:noBreakHyphen/>
      </w:r>
      <w:r w:rsidRPr="001278B6">
        <w:rPr>
          <w:snapToGrid w:val="0"/>
          <w:sz w:val="18"/>
          <w:szCs w:val="18"/>
          <w:lang w:val="da-DK"/>
        </w:rPr>
        <w:t>sygdom.</w:t>
      </w:r>
    </w:p>
    <w:p w14:paraId="5253F6D8"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4</w:t>
      </w:r>
      <w:r w:rsidRPr="001278B6">
        <w:rPr>
          <w:snapToGrid w:val="0"/>
          <w:sz w:val="18"/>
          <w:szCs w:val="18"/>
          <w:lang w:val="da-DK"/>
        </w:rPr>
        <w:t xml:space="preserve"> I forhold til kontrolarmen.</w:t>
      </w:r>
    </w:p>
    <w:p w14:paraId="7A319914" w14:textId="77777777" w:rsidR="003563EF" w:rsidRPr="001278B6" w:rsidRDefault="003563EF" w:rsidP="001278B6">
      <w:pPr>
        <w:pStyle w:val="a3"/>
        <w:widowControl/>
        <w:adjustRightInd w:val="0"/>
        <w:snapToGrid w:val="0"/>
        <w:rPr>
          <w:snapToGrid w:val="0"/>
          <w:lang w:val="da-DK"/>
        </w:rPr>
      </w:pPr>
    </w:p>
    <w:p w14:paraId="5BCA8196"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BO17707 (ICON7)</w:t>
      </w:r>
    </w:p>
    <w:p w14:paraId="02DA31EF" w14:textId="77777777" w:rsidR="003563EF" w:rsidRPr="001278B6" w:rsidRDefault="00473235" w:rsidP="001278B6">
      <w:pPr>
        <w:pStyle w:val="a3"/>
        <w:widowControl/>
        <w:adjustRightInd w:val="0"/>
        <w:snapToGrid w:val="0"/>
        <w:rPr>
          <w:snapToGrid w:val="0"/>
          <w:lang w:val="da-DK"/>
        </w:rPr>
      </w:pPr>
      <w:r w:rsidRPr="001278B6">
        <w:rPr>
          <w:snapToGrid w:val="0"/>
          <w:lang w:val="da-DK"/>
        </w:rPr>
        <w:t>BO17707 var et fase III, to</w:t>
      </w:r>
      <w:r w:rsidR="004B3750">
        <w:rPr>
          <w:snapToGrid w:val="0"/>
          <w:lang w:val="da-DK"/>
        </w:rPr>
        <w:noBreakHyphen/>
      </w:r>
      <w:r w:rsidRPr="001278B6">
        <w:rPr>
          <w:snapToGrid w:val="0"/>
          <w:lang w:val="da-DK"/>
        </w:rPr>
        <w:t xml:space="preserve">armet, multicenter, randomiseret, kontrolleret, åbent studie, som sammenlignede effekten af tillæg af </w:t>
      </w:r>
      <w:r w:rsidR="00C805DA">
        <w:rPr>
          <w:snapToGrid w:val="0"/>
          <w:lang w:val="da-DK"/>
        </w:rPr>
        <w:t>bevacizumab</w:t>
      </w:r>
      <w:r w:rsidRPr="001278B6">
        <w:rPr>
          <w:snapToGrid w:val="0"/>
          <w:lang w:val="da-DK"/>
        </w:rPr>
        <w:t xml:space="preserve"> til carboplatin plus paclitaxel hos patienter med FIGO</w:t>
      </w:r>
      <w:r w:rsidR="004B3750">
        <w:rPr>
          <w:snapToGrid w:val="0"/>
          <w:lang w:val="da-DK"/>
        </w:rPr>
        <w:noBreakHyphen/>
      </w:r>
      <w:r w:rsidRPr="001278B6">
        <w:rPr>
          <w:snapToGrid w:val="0"/>
          <w:lang w:val="da-DK"/>
        </w:rPr>
        <w:t>stadie I eller IIA (grad 3 eller clear cell histologi alene, n = 142) eller FIGO</w:t>
      </w:r>
      <w:r w:rsidR="004B3750">
        <w:rPr>
          <w:snapToGrid w:val="0"/>
          <w:lang w:val="da-DK"/>
        </w:rPr>
        <w:noBreakHyphen/>
      </w:r>
      <w:r w:rsidRPr="001278B6">
        <w:rPr>
          <w:snapToGrid w:val="0"/>
          <w:lang w:val="da-DK"/>
        </w:rPr>
        <w:t>stadie IIB</w:t>
      </w:r>
      <w:r w:rsidR="004B3750">
        <w:rPr>
          <w:snapToGrid w:val="0"/>
          <w:lang w:val="da-DK"/>
        </w:rPr>
        <w:noBreakHyphen/>
      </w:r>
      <w:r w:rsidRPr="001278B6">
        <w:rPr>
          <w:snapToGrid w:val="0"/>
          <w:lang w:val="da-DK"/>
        </w:rPr>
        <w:t>IV (alle grader og alle histologiske typer, n =1.386) epitelial ovariecancer, tubacancer eller primær peritonealcancer efter operation (NCI</w:t>
      </w:r>
      <w:r w:rsidR="004B3750">
        <w:rPr>
          <w:snapToGrid w:val="0"/>
          <w:lang w:val="da-DK"/>
        </w:rPr>
        <w:noBreakHyphen/>
      </w:r>
      <w:r w:rsidRPr="001278B6">
        <w:rPr>
          <w:snapToGrid w:val="0"/>
          <w:lang w:val="da-DK"/>
        </w:rPr>
        <w:t>CTCAE v. 3). FIGO stadieinddeling version 1988 var brugt i dette studie.</w:t>
      </w:r>
    </w:p>
    <w:p w14:paraId="07BA5A85" w14:textId="77777777" w:rsidR="003563EF" w:rsidRPr="001278B6" w:rsidRDefault="00473235" w:rsidP="001278B6">
      <w:pPr>
        <w:pStyle w:val="a3"/>
        <w:widowControl/>
        <w:adjustRightInd w:val="0"/>
        <w:snapToGrid w:val="0"/>
        <w:rPr>
          <w:snapToGrid w:val="0"/>
          <w:lang w:val="da-DK"/>
        </w:rPr>
      </w:pPr>
      <w:r w:rsidRPr="001278B6">
        <w:rPr>
          <w:snapToGrid w:val="0"/>
          <w:lang w:val="da-DK"/>
        </w:rPr>
        <w:t>Patienter, som tidligere var behandlet med bevacizumab eller tidligere havde fået systemisk anticancerbehandling for ovariecancer (f.eks. kemoterapi, behandling med monoklonale antistoffer, behandling med tyrosinkinasehæmmer eller hormonbehandling), eller som tidligere havde fået strålebehandling af abdomen eller bækken, blev ekskluderet fra studiet.</w:t>
      </w:r>
    </w:p>
    <w:p w14:paraId="132F58BE" w14:textId="77777777" w:rsidR="0079124A" w:rsidRPr="001278B6" w:rsidRDefault="0079124A" w:rsidP="001278B6">
      <w:pPr>
        <w:widowControl/>
        <w:adjustRightInd w:val="0"/>
        <w:snapToGrid w:val="0"/>
        <w:rPr>
          <w:snapToGrid w:val="0"/>
          <w:lang w:val="da-DK"/>
        </w:rPr>
      </w:pPr>
    </w:p>
    <w:p w14:paraId="1A6C32E1"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Sammenlagt blev 1.528 patienter randomiseret til to lige store arme:</w:t>
      </w:r>
    </w:p>
    <w:p w14:paraId="43E89F5E" w14:textId="77777777" w:rsidR="003563EF" w:rsidRPr="001278B6" w:rsidRDefault="003563EF" w:rsidP="001278B6">
      <w:pPr>
        <w:pStyle w:val="a3"/>
        <w:keepNext/>
        <w:keepLines/>
        <w:widowControl/>
        <w:adjustRightInd w:val="0"/>
        <w:snapToGrid w:val="0"/>
        <w:rPr>
          <w:snapToGrid w:val="0"/>
          <w:lang w:val="da-DK"/>
        </w:rPr>
      </w:pPr>
    </w:p>
    <w:p w14:paraId="4E36AF21" w14:textId="77777777" w:rsidR="003563EF" w:rsidRPr="001278B6" w:rsidRDefault="00473235" w:rsidP="001278B6">
      <w:pPr>
        <w:pStyle w:val="Bullet1"/>
        <w:widowControl/>
        <w:rPr>
          <w:lang w:val="da-DK"/>
        </w:rPr>
      </w:pPr>
      <w:r w:rsidRPr="001278B6">
        <w:rPr>
          <w:lang w:val="da-DK"/>
        </w:rPr>
        <w:t>CP</w:t>
      </w:r>
      <w:r w:rsidR="004B3750">
        <w:rPr>
          <w:lang w:val="da-DK"/>
        </w:rPr>
        <w:noBreakHyphen/>
      </w:r>
      <w:r w:rsidRPr="001278B6">
        <w:rPr>
          <w:lang w:val="da-DK"/>
        </w:rPr>
        <w:t>arm: Carboplatin (AUC 6) og paclitaxel (175</w:t>
      </w:r>
      <w:r w:rsidR="005279CC">
        <w:rPr>
          <w:lang w:val="da-DK"/>
        </w:rPr>
        <w:t> mg</w:t>
      </w:r>
      <w:r w:rsidRPr="001278B6">
        <w:rPr>
          <w:lang w:val="da-DK"/>
        </w:rPr>
        <w:t>/m</w:t>
      </w:r>
      <w:r w:rsidRPr="001278B6">
        <w:rPr>
          <w:vertAlign w:val="superscript"/>
          <w:lang w:val="da-DK"/>
        </w:rPr>
        <w:t>2</w:t>
      </w:r>
      <w:r w:rsidRPr="001278B6">
        <w:rPr>
          <w:lang w:val="da-DK"/>
        </w:rPr>
        <w:t>) i 6 serier af 3 ugers varighed</w:t>
      </w:r>
    </w:p>
    <w:p w14:paraId="22E95C35" w14:textId="77777777" w:rsidR="003563EF" w:rsidRPr="001278B6" w:rsidRDefault="00473235" w:rsidP="001278B6">
      <w:pPr>
        <w:pStyle w:val="Bullet1"/>
        <w:widowControl/>
        <w:rPr>
          <w:lang w:val="da-DK"/>
        </w:rPr>
      </w:pPr>
      <w:r w:rsidRPr="001278B6">
        <w:rPr>
          <w:lang w:val="da-DK"/>
        </w:rPr>
        <w:t>CPB7,5+</w:t>
      </w:r>
      <w:r w:rsidR="004B3750">
        <w:rPr>
          <w:lang w:val="da-DK"/>
        </w:rPr>
        <w:noBreakHyphen/>
      </w:r>
      <w:r w:rsidRPr="001278B6">
        <w:rPr>
          <w:lang w:val="da-DK"/>
        </w:rPr>
        <w:t>arm: Carboplatin (AUC 6) og paclitaxel (175</w:t>
      </w:r>
      <w:r w:rsidR="005279CC">
        <w:rPr>
          <w:lang w:val="da-DK"/>
        </w:rPr>
        <w:t> mg</w:t>
      </w:r>
      <w:r w:rsidRPr="001278B6">
        <w:rPr>
          <w:lang w:val="da-DK"/>
        </w:rPr>
        <w:t>/m</w:t>
      </w:r>
      <w:r w:rsidRPr="001278B6">
        <w:rPr>
          <w:vertAlign w:val="superscript"/>
          <w:lang w:val="da-DK"/>
        </w:rPr>
        <w:t>2</w:t>
      </w:r>
      <w:r w:rsidRPr="001278B6">
        <w:rPr>
          <w:lang w:val="da-DK"/>
        </w:rPr>
        <w:t xml:space="preserve">) i 6 serier af 3 ugers varighed plus </w:t>
      </w:r>
      <w:r w:rsidR="00C805DA">
        <w:rPr>
          <w:lang w:val="da-DK"/>
        </w:rPr>
        <w:t>bevacizumab</w:t>
      </w:r>
      <w:r w:rsidRPr="001278B6">
        <w:rPr>
          <w:lang w:val="da-DK"/>
        </w:rPr>
        <w:t xml:space="preserve"> (7,5 mg/kg hver 3. uge) i op til 12 måneder (</w:t>
      </w:r>
      <w:r w:rsidR="00C805DA">
        <w:rPr>
          <w:lang w:val="da-DK"/>
        </w:rPr>
        <w:t>bevacizumab</w:t>
      </w:r>
      <w:r w:rsidRPr="001278B6">
        <w:rPr>
          <w:lang w:val="da-DK"/>
        </w:rPr>
        <w:t xml:space="preserve"> blev startet i anden kemoterapiserie, hvis behandling blev initieret inden for 4 uger efter operation, og i første serie, hvis behandling blev initieret mere end 4 uger efter operation).</w:t>
      </w:r>
    </w:p>
    <w:p w14:paraId="6D832136" w14:textId="77777777" w:rsidR="003563EF" w:rsidRPr="001278B6" w:rsidRDefault="003563EF" w:rsidP="001278B6">
      <w:pPr>
        <w:pStyle w:val="a3"/>
        <w:widowControl/>
        <w:adjustRightInd w:val="0"/>
        <w:snapToGrid w:val="0"/>
        <w:rPr>
          <w:snapToGrid w:val="0"/>
          <w:lang w:val="da-DK"/>
        </w:rPr>
      </w:pPr>
    </w:p>
    <w:p w14:paraId="5A9E0B27" w14:textId="77777777" w:rsidR="003563EF" w:rsidRPr="001278B6" w:rsidRDefault="00473235" w:rsidP="001278B6">
      <w:pPr>
        <w:pStyle w:val="a3"/>
        <w:widowControl/>
        <w:adjustRightInd w:val="0"/>
        <w:snapToGrid w:val="0"/>
        <w:rPr>
          <w:snapToGrid w:val="0"/>
          <w:lang w:val="da-DK"/>
        </w:rPr>
      </w:pPr>
      <w:r w:rsidRPr="001278B6">
        <w:rPr>
          <w:snapToGrid w:val="0"/>
          <w:lang w:val="da-DK"/>
        </w:rPr>
        <w:t>Størstedelen af patienterne inkluderet i studiet var kaukasere (96 %). Medianalderen var 57 år i begge behandlingsarme. 25 % af patienterne i de 2 behandlingsarme var 65 år eller ældre. Ca. 50 % af patienterne havde en ECOG PS på 1, og 7 % af patienterne i de 2 behandlingsarme havde en ECOG PS på 2. Størstedelen af patienterne havde epitelialt ovariekarcinom (87,7 %), efterfulgt af primært peritonealt karcinom (6,9 %) og tubakarcinom (3,7 %) eller en blanding af de tre oprindelser (1,7 %). De fleste patienter var FIGO stadie III (68 % i begge), efterfulgt af FIGO stadie IV (13 % og 14 %), FIGO stadie II (10 % og 11 %) og FIGO stadie I (9 % og 7 %). Størstedelen af patienterne i de 2 behandlingsarme (74 % og 71 %) havde lavt differentierede (grad 3) (NCI</w:t>
      </w:r>
      <w:r w:rsidR="004B3750">
        <w:rPr>
          <w:snapToGrid w:val="0"/>
          <w:lang w:val="da-DK"/>
        </w:rPr>
        <w:noBreakHyphen/>
      </w:r>
      <w:r w:rsidRPr="001278B6">
        <w:rPr>
          <w:snapToGrid w:val="0"/>
          <w:lang w:val="da-DK"/>
        </w:rPr>
        <w:t xml:space="preserve">CTCAE v. 3) primære tumorer ved </w:t>
      </w:r>
      <w:r w:rsidRPr="001278B6">
        <w:rPr>
          <w:i/>
          <w:snapToGrid w:val="0"/>
          <w:lang w:val="da-DK"/>
        </w:rPr>
        <w:t>baseline</w:t>
      </w:r>
      <w:r w:rsidRPr="001278B6">
        <w:rPr>
          <w:snapToGrid w:val="0"/>
          <w:lang w:val="da-DK"/>
        </w:rPr>
        <w:t>. Forekomsten af hver histologisk undertype af epitelialt ovariekarcinom var ens i de 2 behandlingsarme. 69 % af patienterne i de 2 behandlingsarme havde serøs histologisk type af adenokarcinom.</w:t>
      </w:r>
    </w:p>
    <w:p w14:paraId="7C1EBECA" w14:textId="77777777" w:rsidR="003563EF" w:rsidRPr="001278B6" w:rsidRDefault="003563EF" w:rsidP="001278B6">
      <w:pPr>
        <w:pStyle w:val="a3"/>
        <w:widowControl/>
        <w:adjustRightInd w:val="0"/>
        <w:snapToGrid w:val="0"/>
        <w:rPr>
          <w:snapToGrid w:val="0"/>
          <w:lang w:val="da-DK"/>
        </w:rPr>
      </w:pPr>
    </w:p>
    <w:p w14:paraId="428A539A" w14:textId="77777777" w:rsidR="003563EF" w:rsidRPr="001278B6" w:rsidRDefault="00473235" w:rsidP="001278B6">
      <w:pPr>
        <w:pStyle w:val="a3"/>
        <w:widowControl/>
        <w:adjustRightInd w:val="0"/>
        <w:snapToGrid w:val="0"/>
        <w:rPr>
          <w:snapToGrid w:val="0"/>
          <w:lang w:val="da-DK"/>
        </w:rPr>
      </w:pPr>
      <w:r w:rsidRPr="001278B6">
        <w:rPr>
          <w:snapToGrid w:val="0"/>
          <w:lang w:val="da-DK"/>
        </w:rPr>
        <w:t>Det primære endepunkt var PFS vurderet af investigator ved brug af RECIST.</w:t>
      </w:r>
    </w:p>
    <w:p w14:paraId="4FB61D7A" w14:textId="77777777" w:rsidR="003563EF" w:rsidRPr="001278B6" w:rsidRDefault="003563EF" w:rsidP="001278B6">
      <w:pPr>
        <w:pStyle w:val="a3"/>
        <w:widowControl/>
        <w:adjustRightInd w:val="0"/>
        <w:snapToGrid w:val="0"/>
        <w:rPr>
          <w:snapToGrid w:val="0"/>
          <w:lang w:val="da-DK"/>
        </w:rPr>
      </w:pPr>
    </w:p>
    <w:p w14:paraId="1895A5B1"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mødte sit primære mål for forbedring af PFS. Patienter, som fik bevacizumab i en dosis på</w:t>
      </w:r>
      <w:r w:rsidR="00DB7E79">
        <w:rPr>
          <w:snapToGrid w:val="0"/>
          <w:lang w:val="da-DK"/>
        </w:rPr>
        <w:t xml:space="preserve"> </w:t>
      </w:r>
      <w:r w:rsidRPr="001278B6">
        <w:rPr>
          <w:snapToGrid w:val="0"/>
          <w:lang w:val="da-DK"/>
        </w:rPr>
        <w:t>7,5</w:t>
      </w:r>
      <w:r w:rsidR="00DB7E79">
        <w:rPr>
          <w:snapToGrid w:val="0"/>
          <w:lang w:val="da-DK"/>
        </w:rPr>
        <w:t> </w:t>
      </w:r>
      <w:r w:rsidRPr="001278B6">
        <w:rPr>
          <w:snapToGrid w:val="0"/>
          <w:lang w:val="da-DK"/>
        </w:rPr>
        <w:t>mg/kg hver 3. uge i kombination med kemoterapi (carboplatin og paclitaxel) og fortsatte med at få bevacizumab i op til 18 serier, havde en statistisk signifikant forbedring af PFS sammenlignet med patienter, som blev behandlet med kemoterapi alene i frontlinjebehandlingsregimet.</w:t>
      </w:r>
    </w:p>
    <w:p w14:paraId="40023F02" w14:textId="77777777" w:rsidR="003563EF" w:rsidRPr="001278B6" w:rsidRDefault="003563EF" w:rsidP="001278B6">
      <w:pPr>
        <w:pStyle w:val="a3"/>
        <w:widowControl/>
        <w:adjustRightInd w:val="0"/>
        <w:snapToGrid w:val="0"/>
        <w:rPr>
          <w:snapToGrid w:val="0"/>
          <w:lang w:val="da-DK"/>
        </w:rPr>
      </w:pPr>
    </w:p>
    <w:p w14:paraId="3138030C" w14:textId="77777777" w:rsidR="003563EF" w:rsidRPr="001278B6" w:rsidRDefault="00473235" w:rsidP="001278B6">
      <w:pPr>
        <w:pStyle w:val="a3"/>
        <w:widowControl/>
        <w:adjustRightInd w:val="0"/>
        <w:snapToGrid w:val="0"/>
        <w:rPr>
          <w:snapToGrid w:val="0"/>
          <w:lang w:val="da-DK"/>
        </w:rPr>
      </w:pPr>
      <w:r w:rsidRPr="001278B6">
        <w:rPr>
          <w:snapToGrid w:val="0"/>
          <w:lang w:val="da-DK"/>
        </w:rPr>
        <w:t>Resultaterne fra dette studie er sammenfattet i tabel 18.</w:t>
      </w:r>
    </w:p>
    <w:p w14:paraId="4CD9BC99" w14:textId="77777777" w:rsidR="003563EF" w:rsidRPr="001278B6" w:rsidRDefault="003563EF" w:rsidP="001278B6">
      <w:pPr>
        <w:pStyle w:val="a3"/>
        <w:widowControl/>
        <w:adjustRightInd w:val="0"/>
        <w:snapToGrid w:val="0"/>
        <w:rPr>
          <w:snapToGrid w:val="0"/>
          <w:lang w:val="da-DK"/>
        </w:rPr>
      </w:pPr>
    </w:p>
    <w:p w14:paraId="5825203C" w14:textId="77777777" w:rsidR="003563EF" w:rsidRPr="00E85219" w:rsidRDefault="00473235" w:rsidP="00E85219">
      <w:pPr>
        <w:ind w:left="1134" w:hanging="1134"/>
        <w:rPr>
          <w:b/>
          <w:bCs/>
          <w:snapToGrid w:val="0"/>
          <w:lang w:val="da-DK"/>
        </w:rPr>
      </w:pPr>
      <w:r w:rsidRPr="00E85219">
        <w:rPr>
          <w:b/>
          <w:bCs/>
          <w:snapToGrid w:val="0"/>
          <w:lang w:val="da-DK"/>
        </w:rPr>
        <w:t>Tabel 18.</w:t>
      </w:r>
      <w:r w:rsidRPr="00E85219">
        <w:rPr>
          <w:b/>
          <w:bCs/>
          <w:snapToGrid w:val="0"/>
          <w:lang w:val="da-DK"/>
        </w:rPr>
        <w:tab/>
        <w:t>Effektresultater fra studie BO17707 (ICON7)</w:t>
      </w:r>
    </w:p>
    <w:p w14:paraId="235271CB" w14:textId="77777777" w:rsidR="003563EF" w:rsidRPr="00E85219" w:rsidRDefault="003563EF" w:rsidP="001278B6">
      <w:pPr>
        <w:pStyle w:val="a3"/>
        <w:keepNext/>
        <w:keepLines/>
        <w:widowControl/>
        <w:adjustRightInd w:val="0"/>
        <w:snapToGrid w:val="0"/>
        <w:rPr>
          <w:b/>
          <w:bCs/>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3018"/>
        <w:gridCol w:w="3016"/>
      </w:tblGrid>
      <w:tr w:rsidR="003563EF" w:rsidRPr="005476B6" w14:paraId="4C108F62" w14:textId="77777777" w:rsidTr="00F466A3">
        <w:tc>
          <w:tcPr>
            <w:tcW w:w="9066" w:type="dxa"/>
            <w:gridSpan w:val="3"/>
            <w:tcBorders>
              <w:bottom w:val="single" w:sz="4" w:space="0" w:color="auto"/>
            </w:tcBorders>
          </w:tcPr>
          <w:p w14:paraId="2CE443FA"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Progressionsfri overlevelse</w:t>
            </w:r>
          </w:p>
        </w:tc>
      </w:tr>
      <w:tr w:rsidR="003563EF" w:rsidRPr="005476B6" w14:paraId="223685B5" w14:textId="77777777" w:rsidTr="00F466A3">
        <w:tc>
          <w:tcPr>
            <w:tcW w:w="3032" w:type="dxa"/>
            <w:tcBorders>
              <w:bottom w:val="single" w:sz="4" w:space="0" w:color="auto"/>
            </w:tcBorders>
          </w:tcPr>
          <w:p w14:paraId="325979F8" w14:textId="77777777" w:rsidR="003563EF" w:rsidRPr="001278B6" w:rsidRDefault="003563EF" w:rsidP="001278B6">
            <w:pPr>
              <w:pStyle w:val="TableParagraph"/>
              <w:keepNext/>
              <w:keepLines/>
              <w:widowControl/>
              <w:adjustRightInd w:val="0"/>
              <w:snapToGrid w:val="0"/>
              <w:rPr>
                <w:snapToGrid w:val="0"/>
                <w:sz w:val="20"/>
                <w:lang w:val="da-DK"/>
              </w:rPr>
            </w:pPr>
          </w:p>
        </w:tc>
        <w:tc>
          <w:tcPr>
            <w:tcW w:w="3018" w:type="dxa"/>
            <w:tcBorders>
              <w:bottom w:val="single" w:sz="4" w:space="0" w:color="auto"/>
            </w:tcBorders>
          </w:tcPr>
          <w:p w14:paraId="2DA8F0FE"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CP</w:t>
            </w:r>
          </w:p>
          <w:p w14:paraId="45320834"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 = 764)</w:t>
            </w:r>
          </w:p>
        </w:tc>
        <w:tc>
          <w:tcPr>
            <w:tcW w:w="3016" w:type="dxa"/>
            <w:tcBorders>
              <w:bottom w:val="single" w:sz="4" w:space="0" w:color="auto"/>
            </w:tcBorders>
          </w:tcPr>
          <w:p w14:paraId="2B719B1E" w14:textId="77777777" w:rsidR="00987AE4" w:rsidRDefault="00473235">
            <w:pPr>
              <w:pStyle w:val="TableParagraph"/>
              <w:keepNext/>
              <w:keepLines/>
              <w:widowControl/>
              <w:adjustRightInd w:val="0"/>
              <w:snapToGrid w:val="0"/>
              <w:jc w:val="center"/>
              <w:rPr>
                <w:snapToGrid w:val="0"/>
                <w:sz w:val="20"/>
                <w:lang w:val="da-DK"/>
              </w:rPr>
            </w:pPr>
            <w:r w:rsidRPr="001278B6">
              <w:rPr>
                <w:snapToGrid w:val="0"/>
                <w:sz w:val="20"/>
                <w:lang w:val="da-DK"/>
              </w:rPr>
              <w:t xml:space="preserve">CPB7,5+ </w:t>
            </w:r>
          </w:p>
          <w:p w14:paraId="40589AC6"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 =764)</w:t>
            </w:r>
          </w:p>
        </w:tc>
      </w:tr>
      <w:tr w:rsidR="003563EF" w:rsidRPr="005476B6" w14:paraId="1CF8D42A" w14:textId="77777777" w:rsidTr="00F466A3">
        <w:tc>
          <w:tcPr>
            <w:tcW w:w="3032" w:type="dxa"/>
            <w:tcBorders>
              <w:top w:val="single" w:sz="4" w:space="0" w:color="auto"/>
              <w:bottom w:val="single" w:sz="4" w:space="0" w:color="auto"/>
            </w:tcBorders>
          </w:tcPr>
          <w:p w14:paraId="20B43A30" w14:textId="77777777" w:rsidR="003563EF" w:rsidRPr="001278B6" w:rsidRDefault="00BB15FC"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 xml:space="preserve">Median PFS (måneder) </w:t>
            </w:r>
            <w:r w:rsidR="00473235" w:rsidRPr="001278B6">
              <w:rPr>
                <w:snapToGrid w:val="0"/>
                <w:sz w:val="20"/>
                <w:vertAlign w:val="superscript"/>
                <w:lang w:val="da-DK"/>
              </w:rPr>
              <w:t>2</w:t>
            </w:r>
          </w:p>
        </w:tc>
        <w:tc>
          <w:tcPr>
            <w:tcW w:w="3018" w:type="dxa"/>
            <w:tcBorders>
              <w:top w:val="single" w:sz="4" w:space="0" w:color="auto"/>
              <w:bottom w:val="single" w:sz="4" w:space="0" w:color="auto"/>
            </w:tcBorders>
          </w:tcPr>
          <w:p w14:paraId="3D28F73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16,9</w:t>
            </w:r>
          </w:p>
        </w:tc>
        <w:tc>
          <w:tcPr>
            <w:tcW w:w="3016" w:type="dxa"/>
            <w:tcBorders>
              <w:top w:val="single" w:sz="4" w:space="0" w:color="auto"/>
              <w:bottom w:val="single" w:sz="4" w:space="0" w:color="auto"/>
            </w:tcBorders>
          </w:tcPr>
          <w:p w14:paraId="67A0C02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19,3</w:t>
            </w:r>
          </w:p>
        </w:tc>
      </w:tr>
      <w:tr w:rsidR="003563EF" w:rsidRPr="005476B6" w14:paraId="195645B8" w14:textId="77777777" w:rsidTr="00F466A3">
        <w:tc>
          <w:tcPr>
            <w:tcW w:w="3032" w:type="dxa"/>
            <w:tcBorders>
              <w:top w:val="single" w:sz="4" w:space="0" w:color="auto"/>
            </w:tcBorders>
          </w:tcPr>
          <w:p w14:paraId="10F01EFC" w14:textId="77777777" w:rsidR="003563EF" w:rsidRPr="001278B6" w:rsidRDefault="00BB15FC" w:rsidP="001278B6">
            <w:pPr>
              <w:pStyle w:val="TableParagraph"/>
              <w:widowControl/>
              <w:adjustRightInd w:val="0"/>
              <w:snapToGrid w:val="0"/>
              <w:ind w:left="567" w:hanging="567"/>
              <w:rPr>
                <w:snapToGrid w:val="0"/>
                <w:sz w:val="20"/>
                <w:lang w:val="da-DK"/>
              </w:rPr>
            </w:pPr>
            <w:r w:rsidRPr="001278B6">
              <w:rPr>
                <w:i/>
                <w:snapToGrid w:val="0"/>
                <w:sz w:val="20"/>
                <w:lang w:val="da-DK"/>
              </w:rPr>
              <w:tab/>
            </w:r>
            <w:r w:rsidR="00473235" w:rsidRPr="00D0579E">
              <w:rPr>
                <w:iCs/>
                <w:snapToGrid w:val="0"/>
                <w:sz w:val="20"/>
                <w:lang w:val="da-DK"/>
              </w:rPr>
              <w:t>Hazard r</w:t>
            </w:r>
            <w:r w:rsidR="00473235" w:rsidRPr="001278B6">
              <w:rPr>
                <w:snapToGrid w:val="0"/>
                <w:sz w:val="20"/>
                <w:lang w:val="da-DK"/>
              </w:rPr>
              <w:t>atio [95 %</w:t>
            </w:r>
            <w:r w:rsidRPr="001278B6">
              <w:rPr>
                <w:snapToGrid w:val="0"/>
                <w:sz w:val="20"/>
                <w:lang w:val="da-DK"/>
              </w:rPr>
              <w:t xml:space="preserve"> </w:t>
            </w:r>
            <w:r w:rsidR="00473235" w:rsidRPr="001278B6">
              <w:rPr>
                <w:snapToGrid w:val="0"/>
                <w:sz w:val="20"/>
                <w:lang w:val="da-DK"/>
              </w:rPr>
              <w:t xml:space="preserve">konfidensinterval] </w:t>
            </w:r>
            <w:r w:rsidR="00473235" w:rsidRPr="001278B6">
              <w:rPr>
                <w:snapToGrid w:val="0"/>
                <w:sz w:val="20"/>
                <w:vertAlign w:val="superscript"/>
                <w:lang w:val="da-DK"/>
              </w:rPr>
              <w:t>2</w:t>
            </w:r>
          </w:p>
        </w:tc>
        <w:tc>
          <w:tcPr>
            <w:tcW w:w="6034" w:type="dxa"/>
            <w:gridSpan w:val="2"/>
            <w:tcBorders>
              <w:top w:val="single" w:sz="4" w:space="0" w:color="auto"/>
            </w:tcBorders>
          </w:tcPr>
          <w:p w14:paraId="66E1673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0,86 [0,75</w:t>
            </w:r>
            <w:r w:rsidR="004B3750">
              <w:rPr>
                <w:snapToGrid w:val="0"/>
                <w:sz w:val="20"/>
                <w:lang w:val="da-DK"/>
              </w:rPr>
              <w:noBreakHyphen/>
            </w:r>
            <w:r w:rsidRPr="001278B6">
              <w:rPr>
                <w:snapToGrid w:val="0"/>
                <w:sz w:val="20"/>
                <w:lang w:val="da-DK"/>
              </w:rPr>
              <w:t>0,98]</w:t>
            </w:r>
          </w:p>
          <w:p w14:paraId="70416F4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0,0185)</w:t>
            </w:r>
          </w:p>
        </w:tc>
      </w:tr>
      <w:tr w:rsidR="003563EF" w:rsidRPr="005476B6" w14:paraId="03F3F4A8" w14:textId="77777777" w:rsidTr="00F466A3">
        <w:tc>
          <w:tcPr>
            <w:tcW w:w="9066" w:type="dxa"/>
            <w:gridSpan w:val="3"/>
            <w:tcBorders>
              <w:bottom w:val="single" w:sz="4" w:space="0" w:color="auto"/>
            </w:tcBorders>
          </w:tcPr>
          <w:p w14:paraId="1DBD585F"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xml:space="preserve">Objektiv responsrate </w:t>
            </w:r>
            <w:r w:rsidRPr="001278B6">
              <w:rPr>
                <w:snapToGrid w:val="0"/>
                <w:sz w:val="20"/>
                <w:vertAlign w:val="superscript"/>
                <w:lang w:val="da-DK"/>
              </w:rPr>
              <w:t>1</w:t>
            </w:r>
          </w:p>
        </w:tc>
      </w:tr>
      <w:tr w:rsidR="00C34764" w:rsidRPr="005476B6" w14:paraId="1E461A0F" w14:textId="77777777" w:rsidTr="00F466A3">
        <w:tc>
          <w:tcPr>
            <w:tcW w:w="3032" w:type="dxa"/>
            <w:vAlign w:val="center"/>
          </w:tcPr>
          <w:p w14:paraId="40FD70BA" w14:textId="69CCB800" w:rsidR="00C34764" w:rsidRPr="001278B6" w:rsidRDefault="00C34764" w:rsidP="001278B6">
            <w:pPr>
              <w:pStyle w:val="TableParagraph"/>
              <w:widowControl/>
              <w:adjustRightInd w:val="0"/>
              <w:snapToGrid w:val="0"/>
              <w:rPr>
                <w:snapToGrid w:val="0"/>
                <w:sz w:val="20"/>
                <w:lang w:val="da-DK"/>
              </w:rPr>
            </w:pPr>
          </w:p>
        </w:tc>
        <w:tc>
          <w:tcPr>
            <w:tcW w:w="3018" w:type="dxa"/>
            <w:tcBorders>
              <w:bottom w:val="single" w:sz="4" w:space="0" w:color="auto"/>
            </w:tcBorders>
          </w:tcPr>
          <w:p w14:paraId="55DA630A"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CP</w:t>
            </w:r>
          </w:p>
          <w:p w14:paraId="36165DCF" w14:textId="77777777" w:rsidR="00C34764" w:rsidRPr="001278B6" w:rsidRDefault="00C34764" w:rsidP="001278B6">
            <w:pPr>
              <w:pStyle w:val="TableParagraph"/>
              <w:keepNext/>
              <w:keepLines/>
              <w:widowControl/>
              <w:adjustRightInd w:val="0"/>
              <w:snapToGrid w:val="0"/>
              <w:jc w:val="center"/>
              <w:rPr>
                <w:snapToGrid w:val="0"/>
                <w:sz w:val="20"/>
                <w:lang w:val="da-DK"/>
              </w:rPr>
            </w:pPr>
            <w:r w:rsidRPr="001278B6">
              <w:rPr>
                <w:snapToGrid w:val="0"/>
                <w:sz w:val="20"/>
                <w:lang w:val="da-DK"/>
              </w:rPr>
              <w:t>(n = 277)</w:t>
            </w:r>
          </w:p>
        </w:tc>
        <w:tc>
          <w:tcPr>
            <w:tcW w:w="3016" w:type="dxa"/>
            <w:tcBorders>
              <w:bottom w:val="single" w:sz="4" w:space="0" w:color="auto"/>
            </w:tcBorders>
          </w:tcPr>
          <w:p w14:paraId="1319AC9D"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CPB7,5+</w:t>
            </w:r>
          </w:p>
          <w:p w14:paraId="5AFFB16A"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(n = 272)</w:t>
            </w:r>
          </w:p>
        </w:tc>
      </w:tr>
      <w:tr w:rsidR="00C34764" w:rsidRPr="005476B6" w14:paraId="7B0071A5" w14:textId="77777777" w:rsidTr="00F466A3">
        <w:tc>
          <w:tcPr>
            <w:tcW w:w="3032" w:type="dxa"/>
          </w:tcPr>
          <w:p w14:paraId="0262702B" w14:textId="77777777" w:rsidR="00C34764" w:rsidRPr="001278B6" w:rsidRDefault="00C34764" w:rsidP="001278B6">
            <w:pPr>
              <w:widowControl/>
              <w:adjustRightInd w:val="0"/>
              <w:snapToGrid w:val="0"/>
              <w:rPr>
                <w:snapToGrid w:val="0"/>
                <w:sz w:val="20"/>
                <w:szCs w:val="2"/>
                <w:lang w:val="da-DK"/>
              </w:rPr>
            </w:pPr>
            <w:r>
              <w:rPr>
                <w:snapToGrid w:val="0"/>
                <w:sz w:val="20"/>
                <w:szCs w:val="2"/>
                <w:lang w:val="da-DK"/>
              </w:rPr>
              <w:t>Responsrate</w:t>
            </w:r>
          </w:p>
        </w:tc>
        <w:tc>
          <w:tcPr>
            <w:tcW w:w="3018" w:type="dxa"/>
            <w:tcBorders>
              <w:top w:val="single" w:sz="4" w:space="0" w:color="auto"/>
              <w:bottom w:val="single" w:sz="4" w:space="0" w:color="auto"/>
            </w:tcBorders>
          </w:tcPr>
          <w:p w14:paraId="1575D660"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54,9 %</w:t>
            </w:r>
          </w:p>
        </w:tc>
        <w:tc>
          <w:tcPr>
            <w:tcW w:w="3016" w:type="dxa"/>
            <w:tcBorders>
              <w:top w:val="single" w:sz="4" w:space="0" w:color="auto"/>
              <w:bottom w:val="single" w:sz="4" w:space="0" w:color="auto"/>
            </w:tcBorders>
          </w:tcPr>
          <w:p w14:paraId="64ADCF8E"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64,7 %</w:t>
            </w:r>
          </w:p>
        </w:tc>
      </w:tr>
      <w:tr w:rsidR="00C34764" w:rsidRPr="005476B6" w14:paraId="373D38CF" w14:textId="77777777" w:rsidTr="00F466A3">
        <w:tc>
          <w:tcPr>
            <w:tcW w:w="3032" w:type="dxa"/>
            <w:tcBorders>
              <w:bottom w:val="single" w:sz="4" w:space="0" w:color="auto"/>
            </w:tcBorders>
          </w:tcPr>
          <w:p w14:paraId="5B14B8D5" w14:textId="77777777" w:rsidR="00C34764" w:rsidRPr="001278B6" w:rsidRDefault="00C34764" w:rsidP="001278B6">
            <w:pPr>
              <w:widowControl/>
              <w:adjustRightInd w:val="0"/>
              <w:snapToGrid w:val="0"/>
              <w:rPr>
                <w:snapToGrid w:val="0"/>
                <w:sz w:val="20"/>
                <w:szCs w:val="2"/>
                <w:lang w:val="da-DK"/>
              </w:rPr>
            </w:pPr>
          </w:p>
        </w:tc>
        <w:tc>
          <w:tcPr>
            <w:tcW w:w="6034" w:type="dxa"/>
            <w:gridSpan w:val="2"/>
            <w:tcBorders>
              <w:top w:val="single" w:sz="4" w:space="0" w:color="auto"/>
              <w:bottom w:val="nil"/>
            </w:tcBorders>
          </w:tcPr>
          <w:p w14:paraId="4503A0D1" w14:textId="77777777" w:rsidR="00C34764" w:rsidRPr="001278B6" w:rsidRDefault="00C34764" w:rsidP="001278B6">
            <w:pPr>
              <w:pStyle w:val="TableParagraph"/>
              <w:widowControl/>
              <w:adjustRightInd w:val="0"/>
              <w:snapToGrid w:val="0"/>
              <w:jc w:val="center"/>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værdi = 0,0188)</w:t>
            </w:r>
          </w:p>
        </w:tc>
      </w:tr>
      <w:tr w:rsidR="003563EF" w:rsidRPr="005476B6" w14:paraId="558A176D" w14:textId="77777777" w:rsidTr="00F466A3">
        <w:tc>
          <w:tcPr>
            <w:tcW w:w="9066" w:type="dxa"/>
            <w:gridSpan w:val="3"/>
            <w:tcBorders>
              <w:top w:val="single" w:sz="4" w:space="0" w:color="auto"/>
              <w:bottom w:val="single" w:sz="4" w:space="0" w:color="auto"/>
            </w:tcBorders>
          </w:tcPr>
          <w:p w14:paraId="42B93098"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xml:space="preserve">Samlet overlevelse </w:t>
            </w:r>
            <w:r w:rsidRPr="001278B6">
              <w:rPr>
                <w:snapToGrid w:val="0"/>
                <w:sz w:val="20"/>
                <w:vertAlign w:val="superscript"/>
                <w:lang w:val="da-DK"/>
              </w:rPr>
              <w:t>3</w:t>
            </w:r>
          </w:p>
        </w:tc>
      </w:tr>
      <w:tr w:rsidR="003563EF" w:rsidRPr="005476B6" w14:paraId="62D9AFD6" w14:textId="77777777" w:rsidTr="00F466A3">
        <w:tc>
          <w:tcPr>
            <w:tcW w:w="3032" w:type="dxa"/>
            <w:tcBorders>
              <w:bottom w:val="single" w:sz="4" w:space="0" w:color="auto"/>
            </w:tcBorders>
          </w:tcPr>
          <w:p w14:paraId="2DB19321" w14:textId="77777777" w:rsidR="003563EF" w:rsidRPr="001278B6" w:rsidRDefault="003563EF" w:rsidP="001278B6">
            <w:pPr>
              <w:pStyle w:val="TableParagraph"/>
              <w:widowControl/>
              <w:adjustRightInd w:val="0"/>
              <w:snapToGrid w:val="0"/>
              <w:rPr>
                <w:snapToGrid w:val="0"/>
                <w:sz w:val="20"/>
                <w:lang w:val="da-DK"/>
              </w:rPr>
            </w:pPr>
          </w:p>
        </w:tc>
        <w:tc>
          <w:tcPr>
            <w:tcW w:w="3018" w:type="dxa"/>
            <w:tcBorders>
              <w:bottom w:val="single" w:sz="4" w:space="0" w:color="auto"/>
            </w:tcBorders>
          </w:tcPr>
          <w:p w14:paraId="10662D5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w:t>
            </w:r>
          </w:p>
          <w:p w14:paraId="3AE6EA2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764)</w:t>
            </w:r>
          </w:p>
        </w:tc>
        <w:tc>
          <w:tcPr>
            <w:tcW w:w="3016" w:type="dxa"/>
            <w:tcBorders>
              <w:bottom w:val="single" w:sz="4" w:space="0" w:color="auto"/>
            </w:tcBorders>
          </w:tcPr>
          <w:p w14:paraId="47B0C74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CPB7,5+</w:t>
            </w:r>
          </w:p>
          <w:p w14:paraId="63DAFAF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764)</w:t>
            </w:r>
          </w:p>
        </w:tc>
      </w:tr>
      <w:tr w:rsidR="003563EF" w:rsidRPr="005476B6" w14:paraId="5E6A1482" w14:textId="77777777" w:rsidTr="00F466A3">
        <w:tc>
          <w:tcPr>
            <w:tcW w:w="3032" w:type="dxa"/>
            <w:tcBorders>
              <w:top w:val="single" w:sz="4" w:space="0" w:color="auto"/>
              <w:bottom w:val="single" w:sz="4" w:space="0" w:color="auto"/>
            </w:tcBorders>
          </w:tcPr>
          <w:p w14:paraId="543B9F19" w14:textId="77777777" w:rsidR="003563EF" w:rsidRPr="001278B6" w:rsidRDefault="00BB15FC"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(måneder)</w:t>
            </w:r>
          </w:p>
        </w:tc>
        <w:tc>
          <w:tcPr>
            <w:tcW w:w="3018" w:type="dxa"/>
            <w:tcBorders>
              <w:top w:val="single" w:sz="4" w:space="0" w:color="auto"/>
              <w:bottom w:val="single" w:sz="4" w:space="0" w:color="auto"/>
            </w:tcBorders>
          </w:tcPr>
          <w:p w14:paraId="0E5373A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58,0</w:t>
            </w:r>
          </w:p>
        </w:tc>
        <w:tc>
          <w:tcPr>
            <w:tcW w:w="3016" w:type="dxa"/>
            <w:tcBorders>
              <w:top w:val="single" w:sz="4" w:space="0" w:color="auto"/>
              <w:bottom w:val="single" w:sz="4" w:space="0" w:color="auto"/>
            </w:tcBorders>
          </w:tcPr>
          <w:p w14:paraId="3289756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57,4</w:t>
            </w:r>
          </w:p>
        </w:tc>
      </w:tr>
      <w:tr w:rsidR="003563EF" w:rsidRPr="005476B6" w14:paraId="06F4B342" w14:textId="77777777" w:rsidTr="00F466A3">
        <w:tc>
          <w:tcPr>
            <w:tcW w:w="3032" w:type="dxa"/>
            <w:tcBorders>
              <w:top w:val="single" w:sz="4" w:space="0" w:color="auto"/>
              <w:bottom w:val="single" w:sz="4" w:space="0" w:color="auto"/>
            </w:tcBorders>
          </w:tcPr>
          <w:p w14:paraId="26A1B77D" w14:textId="77777777" w:rsidR="003563EF" w:rsidRPr="001278B6" w:rsidRDefault="00BB15FC" w:rsidP="001278B6">
            <w:pPr>
              <w:pStyle w:val="TableParagraph"/>
              <w:widowControl/>
              <w:adjustRightInd w:val="0"/>
              <w:snapToGrid w:val="0"/>
              <w:ind w:left="567" w:hanging="567"/>
              <w:rPr>
                <w:snapToGrid w:val="0"/>
                <w:sz w:val="20"/>
                <w:lang w:val="da-DK"/>
              </w:rPr>
            </w:pPr>
            <w:r w:rsidRPr="00D0579E">
              <w:rPr>
                <w:iCs/>
                <w:snapToGrid w:val="0"/>
                <w:sz w:val="20"/>
                <w:lang w:val="da-DK"/>
              </w:rPr>
              <w:tab/>
            </w:r>
            <w:r w:rsidR="00473235" w:rsidRPr="00D0579E">
              <w:rPr>
                <w:iCs/>
                <w:snapToGrid w:val="0"/>
                <w:sz w:val="20"/>
                <w:lang w:val="da-DK"/>
              </w:rPr>
              <w:t>Hazard</w:t>
            </w:r>
            <w:r w:rsidR="00473235" w:rsidRPr="001278B6">
              <w:rPr>
                <w:i/>
                <w:snapToGrid w:val="0"/>
                <w:sz w:val="20"/>
                <w:lang w:val="da-DK"/>
              </w:rPr>
              <w:t xml:space="preserve"> </w:t>
            </w:r>
            <w:r w:rsidR="00473235" w:rsidRPr="001278B6">
              <w:rPr>
                <w:snapToGrid w:val="0"/>
                <w:sz w:val="20"/>
                <w:lang w:val="da-DK"/>
              </w:rPr>
              <w:t>ratio [95 %</w:t>
            </w:r>
            <w:r w:rsidRPr="001278B6">
              <w:rPr>
                <w:snapToGrid w:val="0"/>
                <w:sz w:val="20"/>
                <w:lang w:val="da-DK"/>
              </w:rPr>
              <w:t xml:space="preserve"> </w:t>
            </w:r>
            <w:r w:rsidR="00473235" w:rsidRPr="001278B6">
              <w:rPr>
                <w:snapToGrid w:val="0"/>
                <w:sz w:val="20"/>
                <w:lang w:val="da-DK"/>
              </w:rPr>
              <w:t>konfidensinterval]</w:t>
            </w:r>
          </w:p>
        </w:tc>
        <w:tc>
          <w:tcPr>
            <w:tcW w:w="6034" w:type="dxa"/>
            <w:gridSpan w:val="2"/>
            <w:tcBorders>
              <w:top w:val="single" w:sz="4" w:space="0" w:color="auto"/>
              <w:bottom w:val="single" w:sz="4" w:space="0" w:color="auto"/>
            </w:tcBorders>
          </w:tcPr>
          <w:p w14:paraId="2508FE5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0,99 [0,85</w:t>
            </w:r>
            <w:r w:rsidR="004B3750">
              <w:rPr>
                <w:snapToGrid w:val="0"/>
                <w:sz w:val="20"/>
                <w:lang w:val="da-DK"/>
              </w:rPr>
              <w:noBreakHyphen/>
            </w:r>
            <w:r w:rsidRPr="001278B6">
              <w:rPr>
                <w:snapToGrid w:val="0"/>
                <w:sz w:val="20"/>
                <w:lang w:val="da-DK"/>
              </w:rPr>
              <w:t>1,15]</w:t>
            </w:r>
          </w:p>
          <w:p w14:paraId="651237D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 = 0,8910)</w:t>
            </w:r>
          </w:p>
        </w:tc>
      </w:tr>
    </w:tbl>
    <w:p w14:paraId="748DAC63" w14:textId="77777777" w:rsidR="003563EF" w:rsidRPr="001278B6" w:rsidRDefault="00473235" w:rsidP="001278B6">
      <w:pPr>
        <w:widowControl/>
        <w:adjustRightInd w:val="0"/>
        <w:snapToGrid w:val="0"/>
        <w:rPr>
          <w:i/>
          <w:snapToGrid w:val="0"/>
          <w:sz w:val="18"/>
          <w:szCs w:val="18"/>
          <w:lang w:val="da-DK"/>
        </w:rPr>
      </w:pPr>
      <w:r w:rsidRPr="001278B6">
        <w:rPr>
          <w:snapToGrid w:val="0"/>
          <w:sz w:val="18"/>
          <w:szCs w:val="18"/>
          <w:vertAlign w:val="superscript"/>
          <w:lang w:val="da-DK"/>
        </w:rPr>
        <w:t>1</w:t>
      </w:r>
      <w:r w:rsidRPr="001278B6">
        <w:rPr>
          <w:snapToGrid w:val="0"/>
          <w:sz w:val="18"/>
          <w:szCs w:val="18"/>
          <w:lang w:val="da-DK"/>
        </w:rPr>
        <w:t xml:space="preserve"> Hos patienter med målbar sygdom ved </w:t>
      </w:r>
      <w:r w:rsidRPr="001278B6">
        <w:rPr>
          <w:i/>
          <w:snapToGrid w:val="0"/>
          <w:sz w:val="18"/>
          <w:szCs w:val="18"/>
          <w:lang w:val="da-DK"/>
        </w:rPr>
        <w:t>baseline.</w:t>
      </w:r>
    </w:p>
    <w:p w14:paraId="7A1B41C1"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2</w:t>
      </w:r>
      <w:r w:rsidRPr="001278B6">
        <w:rPr>
          <w:snapToGrid w:val="0"/>
          <w:sz w:val="18"/>
          <w:szCs w:val="18"/>
          <w:lang w:val="da-DK"/>
        </w:rPr>
        <w:t xml:space="preserve"> Investigatorvurderet PFS</w:t>
      </w:r>
      <w:r w:rsidR="004B3750">
        <w:rPr>
          <w:snapToGrid w:val="0"/>
          <w:sz w:val="18"/>
          <w:szCs w:val="18"/>
          <w:lang w:val="da-DK"/>
        </w:rPr>
        <w:noBreakHyphen/>
      </w:r>
      <w:r w:rsidRPr="001278B6">
        <w:rPr>
          <w:snapToGrid w:val="0"/>
          <w:sz w:val="18"/>
          <w:szCs w:val="18"/>
          <w:lang w:val="da-DK"/>
        </w:rPr>
        <w:t xml:space="preserve">analyse med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den 30. november 2010.</w:t>
      </w:r>
    </w:p>
    <w:p w14:paraId="02B6899F"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3</w:t>
      </w:r>
      <w:r w:rsidRPr="001278B6">
        <w:rPr>
          <w:snapToGrid w:val="0"/>
          <w:sz w:val="18"/>
          <w:szCs w:val="18"/>
          <w:lang w:val="da-DK"/>
        </w:rPr>
        <w:t xml:space="preserve"> Endelig OS</w:t>
      </w:r>
      <w:r w:rsidR="004B3750">
        <w:rPr>
          <w:snapToGrid w:val="0"/>
          <w:sz w:val="18"/>
          <w:szCs w:val="18"/>
          <w:lang w:val="da-DK"/>
        </w:rPr>
        <w:noBreakHyphen/>
      </w:r>
      <w:r w:rsidRPr="001278B6">
        <w:rPr>
          <w:snapToGrid w:val="0"/>
          <w:sz w:val="18"/>
          <w:szCs w:val="18"/>
          <w:lang w:val="da-DK"/>
        </w:rPr>
        <w:t xml:space="preserve">analyse udført, da 46,7 % af patienterne var døde, med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den 31. marts 2013.</w:t>
      </w:r>
    </w:p>
    <w:p w14:paraId="2FCA39A8" w14:textId="77777777" w:rsidR="003563EF" w:rsidRPr="001278B6" w:rsidRDefault="003563EF" w:rsidP="001278B6">
      <w:pPr>
        <w:pStyle w:val="a3"/>
        <w:widowControl/>
        <w:adjustRightInd w:val="0"/>
        <w:snapToGrid w:val="0"/>
        <w:rPr>
          <w:snapToGrid w:val="0"/>
          <w:lang w:val="da-DK"/>
        </w:rPr>
      </w:pPr>
    </w:p>
    <w:p w14:paraId="7C12B1E7" w14:textId="77777777" w:rsidR="003563EF" w:rsidRPr="001278B6" w:rsidRDefault="00473235" w:rsidP="001278B6">
      <w:pPr>
        <w:pStyle w:val="a3"/>
        <w:widowControl/>
        <w:adjustRightInd w:val="0"/>
        <w:snapToGrid w:val="0"/>
        <w:rPr>
          <w:snapToGrid w:val="0"/>
          <w:lang w:val="da-DK"/>
        </w:rPr>
      </w:pPr>
      <w:r w:rsidRPr="001278B6">
        <w:rPr>
          <w:snapToGrid w:val="0"/>
          <w:lang w:val="da-DK"/>
        </w:rPr>
        <w:t>Den primære analyse af investigatorvurderet PFS med cut</w:t>
      </w:r>
      <w:r w:rsidR="004B3750">
        <w:rPr>
          <w:snapToGrid w:val="0"/>
          <w:lang w:val="da-DK"/>
        </w:rPr>
        <w:noBreakHyphen/>
      </w:r>
      <w:r w:rsidRPr="001278B6">
        <w:rPr>
          <w:snapToGrid w:val="0"/>
          <w:lang w:val="da-DK"/>
        </w:rPr>
        <w:t xml:space="preserve">off den 28. februar 2010 viser en ustratificeret </w:t>
      </w:r>
      <w:r w:rsidRPr="001278B6">
        <w:rPr>
          <w:i/>
          <w:snapToGrid w:val="0"/>
          <w:lang w:val="da-DK"/>
        </w:rPr>
        <w:t xml:space="preserve">hazard </w:t>
      </w:r>
      <w:r w:rsidRPr="001278B6">
        <w:rPr>
          <w:snapToGrid w:val="0"/>
          <w:lang w:val="da-DK"/>
        </w:rPr>
        <w:t>ratio på 0,79 (95 % konfidensinterval: 0,68</w:t>
      </w:r>
      <w:r w:rsidR="004B3750">
        <w:rPr>
          <w:snapToGrid w:val="0"/>
          <w:lang w:val="da-DK"/>
        </w:rPr>
        <w:noBreakHyphen/>
      </w:r>
      <w:r w:rsidRPr="001278B6">
        <w:rPr>
          <w:snapToGrid w:val="0"/>
          <w:lang w:val="da-DK"/>
        </w:rPr>
        <w:t>0,91, tosidig log</w:t>
      </w:r>
      <w:r w:rsidR="004B3750">
        <w:rPr>
          <w:snapToGrid w:val="0"/>
          <w:lang w:val="da-DK"/>
        </w:rPr>
        <w:noBreakHyphen/>
      </w:r>
      <w:r w:rsidRPr="001278B6">
        <w:rPr>
          <w:snapToGrid w:val="0"/>
          <w:lang w:val="da-DK"/>
        </w:rPr>
        <w:t>rank p</w:t>
      </w:r>
      <w:r w:rsidR="004B3750">
        <w:rPr>
          <w:snapToGrid w:val="0"/>
          <w:lang w:val="da-DK"/>
        </w:rPr>
        <w:noBreakHyphen/>
      </w:r>
      <w:r w:rsidRPr="001278B6">
        <w:rPr>
          <w:snapToGrid w:val="0"/>
          <w:lang w:val="da-DK"/>
        </w:rPr>
        <w:t>værdi 0,0010) med en median PFS på 16,0 måneder i CP</w:t>
      </w:r>
      <w:r w:rsidR="004B3750">
        <w:rPr>
          <w:snapToGrid w:val="0"/>
          <w:lang w:val="da-DK"/>
        </w:rPr>
        <w:noBreakHyphen/>
      </w:r>
      <w:r w:rsidRPr="001278B6">
        <w:rPr>
          <w:snapToGrid w:val="0"/>
          <w:lang w:val="da-DK"/>
        </w:rPr>
        <w:t>armen og 18,3 måneder i CPB7,5+</w:t>
      </w:r>
      <w:r w:rsidR="004B3750">
        <w:rPr>
          <w:snapToGrid w:val="0"/>
          <w:lang w:val="da-DK"/>
        </w:rPr>
        <w:noBreakHyphen/>
      </w:r>
      <w:r w:rsidRPr="001278B6">
        <w:rPr>
          <w:snapToGrid w:val="0"/>
          <w:lang w:val="da-DK"/>
        </w:rPr>
        <w:t>armen.</w:t>
      </w:r>
    </w:p>
    <w:p w14:paraId="743FF3E2" w14:textId="77777777" w:rsidR="0079124A" w:rsidRPr="001278B6" w:rsidRDefault="0079124A" w:rsidP="001278B6">
      <w:pPr>
        <w:widowControl/>
        <w:adjustRightInd w:val="0"/>
        <w:snapToGrid w:val="0"/>
        <w:rPr>
          <w:snapToGrid w:val="0"/>
          <w:lang w:val="da-DK"/>
        </w:rPr>
      </w:pPr>
    </w:p>
    <w:p w14:paraId="547C26CD" w14:textId="77777777" w:rsidR="003563EF" w:rsidRDefault="00473235" w:rsidP="001278B6">
      <w:pPr>
        <w:pStyle w:val="a3"/>
        <w:widowControl/>
        <w:adjustRightInd w:val="0"/>
        <w:snapToGrid w:val="0"/>
        <w:rPr>
          <w:snapToGrid w:val="0"/>
          <w:lang w:val="da-DK"/>
        </w:rPr>
      </w:pPr>
      <w:r w:rsidRPr="001278B6">
        <w:rPr>
          <w:snapToGrid w:val="0"/>
          <w:lang w:val="da-DK"/>
        </w:rPr>
        <w:t>PFS</w:t>
      </w:r>
      <w:r w:rsidR="004B3750">
        <w:rPr>
          <w:snapToGrid w:val="0"/>
          <w:lang w:val="da-DK"/>
        </w:rPr>
        <w:noBreakHyphen/>
      </w:r>
      <w:r w:rsidRPr="001278B6">
        <w:rPr>
          <w:snapToGrid w:val="0"/>
          <w:lang w:val="da-DK"/>
        </w:rPr>
        <w:t>undergruppeanalyse af sygdomsstadie og tumoreduktionsstatus er sammenfattet i tabel 19. Disse resultater påviser robusthed af PFS</w:t>
      </w:r>
      <w:r w:rsidR="004B3750">
        <w:rPr>
          <w:snapToGrid w:val="0"/>
          <w:lang w:val="da-DK"/>
        </w:rPr>
        <w:noBreakHyphen/>
      </w:r>
      <w:r w:rsidRPr="001278B6">
        <w:rPr>
          <w:snapToGrid w:val="0"/>
          <w:lang w:val="da-DK"/>
        </w:rPr>
        <w:t>analysen vist i tabel 18.</w:t>
      </w:r>
    </w:p>
    <w:p w14:paraId="39E9707F" w14:textId="77777777" w:rsidR="00AD71D9" w:rsidRPr="001278B6" w:rsidRDefault="00AD71D9" w:rsidP="001278B6">
      <w:pPr>
        <w:pStyle w:val="a3"/>
        <w:widowControl/>
        <w:adjustRightInd w:val="0"/>
        <w:snapToGrid w:val="0"/>
        <w:rPr>
          <w:snapToGrid w:val="0"/>
          <w:lang w:val="da-DK"/>
        </w:rPr>
      </w:pPr>
    </w:p>
    <w:p w14:paraId="11459413" w14:textId="77777777" w:rsidR="003563EF" w:rsidRPr="00E85219" w:rsidRDefault="00473235" w:rsidP="00E85219">
      <w:pPr>
        <w:ind w:left="1134" w:hanging="1134"/>
        <w:rPr>
          <w:b/>
          <w:bCs/>
          <w:snapToGrid w:val="0"/>
          <w:lang w:val="da-DK"/>
        </w:rPr>
      </w:pPr>
      <w:r w:rsidRPr="00E85219">
        <w:rPr>
          <w:b/>
          <w:bCs/>
          <w:snapToGrid w:val="0"/>
          <w:lang w:val="da-DK"/>
        </w:rPr>
        <w:t>Tabel 19.</w:t>
      </w:r>
      <w:r w:rsidRPr="00E85219">
        <w:rPr>
          <w:b/>
          <w:bCs/>
          <w:snapToGrid w:val="0"/>
          <w:lang w:val="da-DK"/>
        </w:rPr>
        <w:tab/>
        <w:t>PFS</w:t>
      </w:r>
      <w:r w:rsidRPr="00E85219">
        <w:rPr>
          <w:b/>
          <w:bCs/>
          <w:snapToGrid w:val="0"/>
          <w:vertAlign w:val="superscript"/>
          <w:lang w:val="da-DK"/>
        </w:rPr>
        <w:t>1</w:t>
      </w:r>
      <w:r w:rsidR="004B3750" w:rsidRPr="00E85219">
        <w:rPr>
          <w:b/>
          <w:bCs/>
          <w:snapToGrid w:val="0"/>
          <w:lang w:val="da-DK"/>
        </w:rPr>
        <w:noBreakHyphen/>
      </w:r>
      <w:r w:rsidRPr="00E85219">
        <w:rPr>
          <w:b/>
          <w:bCs/>
          <w:snapToGrid w:val="0"/>
          <w:lang w:val="da-DK"/>
        </w:rPr>
        <w:t>resultater efter sygdomsstadie og tumorreduktionsstatus fra studie BO17707 (ICON7)</w:t>
      </w:r>
    </w:p>
    <w:p w14:paraId="354E48F6"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9"/>
        <w:gridCol w:w="2376"/>
        <w:gridCol w:w="3331"/>
      </w:tblGrid>
      <w:tr w:rsidR="00AB235B" w:rsidRPr="007E69C7" w14:paraId="39CD52DC" w14:textId="77777777" w:rsidTr="00F466A3">
        <w:tc>
          <w:tcPr>
            <w:tcW w:w="9275" w:type="dxa"/>
            <w:gridSpan w:val="3"/>
            <w:tcBorders>
              <w:bottom w:val="single" w:sz="4" w:space="0" w:color="auto"/>
            </w:tcBorders>
          </w:tcPr>
          <w:p w14:paraId="1751D7B7" w14:textId="77777777" w:rsidR="00AB235B" w:rsidRPr="001278B6" w:rsidRDefault="00AB235B" w:rsidP="001278B6">
            <w:pPr>
              <w:pStyle w:val="TableParagraph"/>
              <w:keepNext/>
              <w:keepLines/>
              <w:widowControl/>
              <w:adjustRightInd w:val="0"/>
              <w:snapToGrid w:val="0"/>
              <w:rPr>
                <w:snapToGrid w:val="0"/>
                <w:sz w:val="20"/>
                <w:lang w:val="da-DK"/>
              </w:rPr>
            </w:pPr>
            <w:r w:rsidRPr="001278B6">
              <w:rPr>
                <w:snapToGrid w:val="0"/>
                <w:sz w:val="20"/>
                <w:lang w:val="da-DK"/>
              </w:rPr>
              <w:t xml:space="preserve">Randomiserede patienter med st adie III optimalt tumo reduceret sygdom </w:t>
            </w:r>
            <w:r w:rsidRPr="001278B6">
              <w:rPr>
                <w:snapToGrid w:val="0"/>
                <w:sz w:val="20"/>
                <w:vertAlign w:val="superscript"/>
                <w:lang w:val="da-DK"/>
              </w:rPr>
              <w:t>2,3</w:t>
            </w:r>
          </w:p>
        </w:tc>
      </w:tr>
      <w:tr w:rsidR="003563EF" w:rsidRPr="005476B6" w14:paraId="3B329548" w14:textId="77777777" w:rsidTr="00F466A3">
        <w:tc>
          <w:tcPr>
            <w:tcW w:w="3426" w:type="dxa"/>
            <w:tcBorders>
              <w:bottom w:val="single" w:sz="4" w:space="0" w:color="auto"/>
            </w:tcBorders>
          </w:tcPr>
          <w:p w14:paraId="14F0916C" w14:textId="77777777" w:rsidR="003563EF" w:rsidRPr="001278B6" w:rsidRDefault="003563EF" w:rsidP="001278B6">
            <w:pPr>
              <w:pStyle w:val="TableParagraph"/>
              <w:widowControl/>
              <w:adjustRightInd w:val="0"/>
              <w:snapToGrid w:val="0"/>
              <w:rPr>
                <w:snapToGrid w:val="0"/>
                <w:sz w:val="20"/>
                <w:lang w:val="da-DK"/>
              </w:rPr>
            </w:pPr>
          </w:p>
        </w:tc>
        <w:tc>
          <w:tcPr>
            <w:tcW w:w="2434" w:type="dxa"/>
            <w:tcBorders>
              <w:bottom w:val="single" w:sz="4" w:space="0" w:color="auto"/>
            </w:tcBorders>
          </w:tcPr>
          <w:p w14:paraId="6C07AB5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w:t>
            </w:r>
          </w:p>
          <w:p w14:paraId="7D45BB1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368)</w:t>
            </w:r>
          </w:p>
        </w:tc>
        <w:tc>
          <w:tcPr>
            <w:tcW w:w="3415" w:type="dxa"/>
            <w:tcBorders>
              <w:bottom w:val="single" w:sz="4" w:space="0" w:color="auto"/>
            </w:tcBorders>
          </w:tcPr>
          <w:p w14:paraId="7726628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CPB7,5+</w:t>
            </w:r>
          </w:p>
          <w:p w14:paraId="169DB4E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383)</w:t>
            </w:r>
          </w:p>
        </w:tc>
      </w:tr>
      <w:tr w:rsidR="003563EF" w:rsidRPr="005476B6" w14:paraId="2856CBB7" w14:textId="77777777" w:rsidTr="00F466A3">
        <w:tc>
          <w:tcPr>
            <w:tcW w:w="3426" w:type="dxa"/>
            <w:tcBorders>
              <w:top w:val="single" w:sz="4" w:space="0" w:color="auto"/>
              <w:bottom w:val="single" w:sz="4" w:space="0" w:color="auto"/>
            </w:tcBorders>
          </w:tcPr>
          <w:p w14:paraId="1E95B2F1" w14:textId="77777777" w:rsidR="003563EF" w:rsidRPr="001278B6" w:rsidRDefault="00D61D11"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PFS (måneder)</w:t>
            </w:r>
          </w:p>
        </w:tc>
        <w:tc>
          <w:tcPr>
            <w:tcW w:w="2434" w:type="dxa"/>
            <w:tcBorders>
              <w:top w:val="single" w:sz="4" w:space="0" w:color="auto"/>
              <w:bottom w:val="single" w:sz="4" w:space="0" w:color="auto"/>
            </w:tcBorders>
          </w:tcPr>
          <w:p w14:paraId="6FFE7B7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17,7</w:t>
            </w:r>
          </w:p>
        </w:tc>
        <w:tc>
          <w:tcPr>
            <w:tcW w:w="3415" w:type="dxa"/>
            <w:tcBorders>
              <w:top w:val="single" w:sz="4" w:space="0" w:color="auto"/>
              <w:bottom w:val="single" w:sz="4" w:space="0" w:color="auto"/>
            </w:tcBorders>
          </w:tcPr>
          <w:p w14:paraId="10D3CC7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19,3</w:t>
            </w:r>
          </w:p>
        </w:tc>
      </w:tr>
      <w:tr w:rsidR="003563EF" w:rsidRPr="005476B6" w14:paraId="76A57B84" w14:textId="77777777" w:rsidTr="00F466A3">
        <w:tc>
          <w:tcPr>
            <w:tcW w:w="3426" w:type="dxa"/>
            <w:tcBorders>
              <w:top w:val="single" w:sz="4" w:space="0" w:color="auto"/>
            </w:tcBorders>
          </w:tcPr>
          <w:p w14:paraId="24D1FBF5" w14:textId="77777777" w:rsidR="003563EF" w:rsidRPr="001278B6" w:rsidRDefault="00D61D11" w:rsidP="001278B6">
            <w:pPr>
              <w:pStyle w:val="TableParagraph"/>
              <w:widowControl/>
              <w:adjustRightInd w:val="0"/>
              <w:snapToGrid w:val="0"/>
              <w:ind w:left="567" w:hanging="567"/>
              <w:rPr>
                <w:snapToGrid w:val="0"/>
                <w:sz w:val="20"/>
                <w:lang w:val="da-DK"/>
              </w:rPr>
            </w:pPr>
            <w:r w:rsidRPr="00D0579E">
              <w:rPr>
                <w:iCs/>
                <w:snapToGrid w:val="0"/>
                <w:sz w:val="20"/>
                <w:lang w:val="da-DK"/>
              </w:rPr>
              <w:tab/>
            </w:r>
            <w:r w:rsidR="00473235" w:rsidRPr="00D0579E">
              <w:rPr>
                <w:iCs/>
                <w:snapToGrid w:val="0"/>
                <w:sz w:val="20"/>
                <w:lang w:val="da-DK"/>
              </w:rPr>
              <w:t>Hazard</w:t>
            </w:r>
            <w:r w:rsidR="00473235" w:rsidRPr="001278B6">
              <w:rPr>
                <w:i/>
                <w:snapToGrid w:val="0"/>
                <w:sz w:val="20"/>
                <w:lang w:val="da-DK"/>
              </w:rPr>
              <w:t xml:space="preserve"> </w:t>
            </w:r>
            <w:r w:rsidR="00473235" w:rsidRPr="001278B6">
              <w:rPr>
                <w:snapToGrid w:val="0"/>
                <w:sz w:val="20"/>
                <w:lang w:val="da-DK"/>
              </w:rPr>
              <w:t xml:space="preserve">ratio (95 % konfidensinterval) </w:t>
            </w:r>
            <w:r w:rsidR="00473235" w:rsidRPr="001278B6">
              <w:rPr>
                <w:snapToGrid w:val="0"/>
                <w:sz w:val="20"/>
                <w:vertAlign w:val="superscript"/>
                <w:lang w:val="da-DK"/>
              </w:rPr>
              <w:t>4</w:t>
            </w:r>
          </w:p>
        </w:tc>
        <w:tc>
          <w:tcPr>
            <w:tcW w:w="2434" w:type="dxa"/>
            <w:tcBorders>
              <w:top w:val="single" w:sz="4" w:space="0" w:color="auto"/>
            </w:tcBorders>
          </w:tcPr>
          <w:p w14:paraId="26BB9CA1" w14:textId="77777777" w:rsidR="003563EF" w:rsidRPr="001278B6" w:rsidRDefault="003563EF" w:rsidP="001278B6">
            <w:pPr>
              <w:pStyle w:val="TableParagraph"/>
              <w:widowControl/>
              <w:adjustRightInd w:val="0"/>
              <w:snapToGrid w:val="0"/>
              <w:rPr>
                <w:snapToGrid w:val="0"/>
                <w:sz w:val="20"/>
                <w:lang w:val="da-DK"/>
              </w:rPr>
            </w:pPr>
          </w:p>
        </w:tc>
        <w:tc>
          <w:tcPr>
            <w:tcW w:w="3415" w:type="dxa"/>
            <w:tcBorders>
              <w:top w:val="single" w:sz="4" w:space="0" w:color="auto"/>
            </w:tcBorders>
          </w:tcPr>
          <w:p w14:paraId="06748FE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0,89</w:t>
            </w:r>
          </w:p>
          <w:p w14:paraId="40C23CD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(0,74</w:t>
            </w:r>
            <w:r w:rsidR="004B3750">
              <w:rPr>
                <w:snapToGrid w:val="0"/>
                <w:sz w:val="20"/>
                <w:lang w:val="da-DK"/>
              </w:rPr>
              <w:noBreakHyphen/>
            </w:r>
            <w:r w:rsidRPr="001278B6">
              <w:rPr>
                <w:snapToGrid w:val="0"/>
                <w:sz w:val="20"/>
                <w:lang w:val="da-DK"/>
              </w:rPr>
              <w:t>1,07)</w:t>
            </w:r>
          </w:p>
        </w:tc>
      </w:tr>
      <w:tr w:rsidR="0051076C" w:rsidRPr="007E69C7" w14:paraId="6B205A05" w14:textId="77777777" w:rsidTr="00F466A3">
        <w:tc>
          <w:tcPr>
            <w:tcW w:w="9275" w:type="dxa"/>
            <w:gridSpan w:val="3"/>
            <w:tcBorders>
              <w:bottom w:val="single" w:sz="4" w:space="0" w:color="auto"/>
            </w:tcBorders>
          </w:tcPr>
          <w:p w14:paraId="45806E9D" w14:textId="77777777" w:rsidR="0051076C" w:rsidRPr="001278B6" w:rsidRDefault="0051076C" w:rsidP="001278B6">
            <w:pPr>
              <w:pStyle w:val="TableParagraph"/>
              <w:keepNext/>
              <w:keepLines/>
              <w:widowControl/>
              <w:adjustRightInd w:val="0"/>
              <w:snapToGrid w:val="0"/>
              <w:rPr>
                <w:snapToGrid w:val="0"/>
                <w:sz w:val="20"/>
                <w:lang w:val="da-DK"/>
              </w:rPr>
            </w:pPr>
            <w:r w:rsidRPr="001278B6">
              <w:rPr>
                <w:snapToGrid w:val="0"/>
                <w:sz w:val="20"/>
                <w:lang w:val="da-DK"/>
              </w:rPr>
              <w:t>Randomiserede patienter med stadie III sub</w:t>
            </w:r>
            <w:r w:rsidR="004B3750">
              <w:rPr>
                <w:snapToGrid w:val="0"/>
                <w:sz w:val="20"/>
                <w:lang w:val="da-DK"/>
              </w:rPr>
              <w:noBreakHyphen/>
            </w:r>
            <w:r w:rsidRPr="001278B6">
              <w:rPr>
                <w:snapToGrid w:val="0"/>
                <w:sz w:val="20"/>
                <w:lang w:val="da-DK"/>
              </w:rPr>
              <w:t>optimalt tumorreduceret sygdom</w:t>
            </w:r>
            <w:r w:rsidRPr="001278B6">
              <w:rPr>
                <w:snapToGrid w:val="0"/>
                <w:sz w:val="20"/>
                <w:vertAlign w:val="superscript"/>
                <w:lang w:val="da-DK"/>
              </w:rPr>
              <w:t>3</w:t>
            </w:r>
          </w:p>
        </w:tc>
      </w:tr>
      <w:tr w:rsidR="00D61D11" w:rsidRPr="005476B6" w14:paraId="3C590A9C" w14:textId="77777777" w:rsidTr="00F466A3">
        <w:trPr>
          <w:trHeight w:val="470"/>
        </w:trPr>
        <w:tc>
          <w:tcPr>
            <w:tcW w:w="3426" w:type="dxa"/>
            <w:tcBorders>
              <w:bottom w:val="single" w:sz="4" w:space="0" w:color="auto"/>
            </w:tcBorders>
          </w:tcPr>
          <w:p w14:paraId="532A5B9D" w14:textId="77777777" w:rsidR="00D61D11" w:rsidRPr="001278B6" w:rsidRDefault="00D61D11" w:rsidP="001278B6">
            <w:pPr>
              <w:pStyle w:val="TableParagraph"/>
              <w:widowControl/>
              <w:adjustRightInd w:val="0"/>
              <w:snapToGrid w:val="0"/>
              <w:rPr>
                <w:snapToGrid w:val="0"/>
                <w:sz w:val="20"/>
                <w:lang w:val="da-DK"/>
              </w:rPr>
            </w:pPr>
          </w:p>
        </w:tc>
        <w:tc>
          <w:tcPr>
            <w:tcW w:w="2434" w:type="dxa"/>
            <w:tcBorders>
              <w:bottom w:val="single" w:sz="4" w:space="0" w:color="auto"/>
            </w:tcBorders>
          </w:tcPr>
          <w:p w14:paraId="1B098229"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CP</w:t>
            </w:r>
          </w:p>
          <w:p w14:paraId="56D3167E"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(n = 154)</w:t>
            </w:r>
          </w:p>
        </w:tc>
        <w:tc>
          <w:tcPr>
            <w:tcW w:w="3415" w:type="dxa"/>
            <w:tcBorders>
              <w:bottom w:val="single" w:sz="4" w:space="0" w:color="auto"/>
            </w:tcBorders>
          </w:tcPr>
          <w:p w14:paraId="7B12B111"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CPB7,5+</w:t>
            </w:r>
          </w:p>
          <w:p w14:paraId="171FDC74"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(n = 140)</w:t>
            </w:r>
          </w:p>
        </w:tc>
      </w:tr>
      <w:tr w:rsidR="003563EF" w:rsidRPr="005476B6" w14:paraId="22CA26F9" w14:textId="77777777" w:rsidTr="00F466A3">
        <w:tc>
          <w:tcPr>
            <w:tcW w:w="3426" w:type="dxa"/>
            <w:tcBorders>
              <w:top w:val="single" w:sz="4" w:space="0" w:color="auto"/>
              <w:bottom w:val="single" w:sz="4" w:space="0" w:color="auto"/>
            </w:tcBorders>
          </w:tcPr>
          <w:p w14:paraId="3EF8CC8D" w14:textId="77777777" w:rsidR="003563EF" w:rsidRPr="001278B6" w:rsidRDefault="00987AE4" w:rsidP="001278B6">
            <w:pPr>
              <w:pStyle w:val="TableParagraph"/>
              <w:widowControl/>
              <w:adjustRightInd w:val="0"/>
              <w:snapToGrid w:val="0"/>
              <w:rPr>
                <w:snapToGrid w:val="0"/>
                <w:sz w:val="20"/>
                <w:lang w:val="da-DK"/>
              </w:rPr>
            </w:pPr>
            <w:r>
              <w:rPr>
                <w:snapToGrid w:val="0"/>
                <w:sz w:val="20"/>
                <w:lang w:val="da-DK"/>
              </w:rPr>
              <w:tab/>
            </w:r>
            <w:r w:rsidR="00473235" w:rsidRPr="001278B6">
              <w:rPr>
                <w:snapToGrid w:val="0"/>
                <w:sz w:val="20"/>
                <w:lang w:val="da-DK"/>
              </w:rPr>
              <w:t>Median PFS (måneder)</w:t>
            </w:r>
          </w:p>
        </w:tc>
        <w:tc>
          <w:tcPr>
            <w:tcW w:w="2434" w:type="dxa"/>
            <w:tcBorders>
              <w:top w:val="single" w:sz="4" w:space="0" w:color="auto"/>
              <w:bottom w:val="single" w:sz="4" w:space="0" w:color="auto"/>
            </w:tcBorders>
          </w:tcPr>
          <w:p w14:paraId="69CC1AC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10,1</w:t>
            </w:r>
          </w:p>
        </w:tc>
        <w:tc>
          <w:tcPr>
            <w:tcW w:w="3415" w:type="dxa"/>
            <w:tcBorders>
              <w:top w:val="single" w:sz="4" w:space="0" w:color="auto"/>
              <w:bottom w:val="single" w:sz="4" w:space="0" w:color="auto"/>
            </w:tcBorders>
          </w:tcPr>
          <w:p w14:paraId="562D4C0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16,9</w:t>
            </w:r>
          </w:p>
        </w:tc>
      </w:tr>
      <w:tr w:rsidR="00D61D11" w:rsidRPr="005476B6" w14:paraId="43DBC7E0" w14:textId="77777777" w:rsidTr="00F466A3">
        <w:trPr>
          <w:trHeight w:val="470"/>
        </w:trPr>
        <w:tc>
          <w:tcPr>
            <w:tcW w:w="3426" w:type="dxa"/>
            <w:tcBorders>
              <w:top w:val="single" w:sz="4" w:space="0" w:color="auto"/>
            </w:tcBorders>
          </w:tcPr>
          <w:p w14:paraId="4045D90D" w14:textId="77777777" w:rsidR="00D61D11" w:rsidRPr="001278B6" w:rsidRDefault="00987AE4" w:rsidP="001278B6">
            <w:pPr>
              <w:pStyle w:val="TableParagraph"/>
              <w:widowControl/>
              <w:adjustRightInd w:val="0"/>
              <w:snapToGrid w:val="0"/>
              <w:ind w:left="567" w:hanging="567"/>
              <w:rPr>
                <w:snapToGrid w:val="0"/>
                <w:sz w:val="20"/>
                <w:lang w:val="da-DK"/>
              </w:rPr>
            </w:pPr>
            <w:r>
              <w:rPr>
                <w:i/>
                <w:snapToGrid w:val="0"/>
                <w:sz w:val="20"/>
                <w:lang w:val="da-DK"/>
              </w:rPr>
              <w:tab/>
            </w:r>
            <w:r w:rsidR="00D61D11" w:rsidRPr="00D0579E">
              <w:rPr>
                <w:iCs/>
                <w:snapToGrid w:val="0"/>
                <w:sz w:val="20"/>
                <w:lang w:val="da-DK"/>
              </w:rPr>
              <w:t xml:space="preserve">Hazard </w:t>
            </w:r>
            <w:r w:rsidR="00D61D11" w:rsidRPr="001278B6">
              <w:rPr>
                <w:snapToGrid w:val="0"/>
                <w:sz w:val="20"/>
                <w:lang w:val="da-DK"/>
              </w:rPr>
              <w:t>ratio (95 % konfidensinterval)</w:t>
            </w:r>
            <w:r w:rsidR="00D61D11" w:rsidRPr="001278B6">
              <w:rPr>
                <w:snapToGrid w:val="0"/>
                <w:sz w:val="20"/>
                <w:vertAlign w:val="superscript"/>
                <w:lang w:val="da-DK"/>
              </w:rPr>
              <w:t>4</w:t>
            </w:r>
          </w:p>
        </w:tc>
        <w:tc>
          <w:tcPr>
            <w:tcW w:w="2434" w:type="dxa"/>
            <w:tcBorders>
              <w:top w:val="single" w:sz="4" w:space="0" w:color="auto"/>
            </w:tcBorders>
          </w:tcPr>
          <w:p w14:paraId="52A4A336" w14:textId="77777777" w:rsidR="00D61D11" w:rsidRPr="001278B6" w:rsidRDefault="00D61D11" w:rsidP="001278B6">
            <w:pPr>
              <w:pStyle w:val="TableParagraph"/>
              <w:widowControl/>
              <w:adjustRightInd w:val="0"/>
              <w:snapToGrid w:val="0"/>
              <w:rPr>
                <w:snapToGrid w:val="0"/>
                <w:sz w:val="20"/>
                <w:lang w:val="da-DK"/>
              </w:rPr>
            </w:pPr>
          </w:p>
        </w:tc>
        <w:tc>
          <w:tcPr>
            <w:tcW w:w="3415" w:type="dxa"/>
            <w:tcBorders>
              <w:top w:val="single" w:sz="4" w:space="0" w:color="auto"/>
            </w:tcBorders>
          </w:tcPr>
          <w:p w14:paraId="11162024"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0,67</w:t>
            </w:r>
          </w:p>
          <w:p w14:paraId="18DBD089" w14:textId="77777777" w:rsidR="00D61D11" w:rsidRPr="001278B6" w:rsidRDefault="00D61D11" w:rsidP="001278B6">
            <w:pPr>
              <w:pStyle w:val="TableParagraph"/>
              <w:widowControl/>
              <w:adjustRightInd w:val="0"/>
              <w:snapToGrid w:val="0"/>
              <w:jc w:val="center"/>
              <w:rPr>
                <w:snapToGrid w:val="0"/>
                <w:sz w:val="20"/>
                <w:lang w:val="da-DK"/>
              </w:rPr>
            </w:pPr>
            <w:r w:rsidRPr="001278B6">
              <w:rPr>
                <w:snapToGrid w:val="0"/>
                <w:sz w:val="20"/>
                <w:lang w:val="da-DK"/>
              </w:rPr>
              <w:t>(0,52</w:t>
            </w:r>
            <w:r w:rsidR="004B3750">
              <w:rPr>
                <w:snapToGrid w:val="0"/>
                <w:sz w:val="20"/>
                <w:lang w:val="da-DK"/>
              </w:rPr>
              <w:noBreakHyphen/>
            </w:r>
            <w:r w:rsidRPr="001278B6">
              <w:rPr>
                <w:snapToGrid w:val="0"/>
                <w:sz w:val="20"/>
                <w:lang w:val="da-DK"/>
              </w:rPr>
              <w:t>0,87)</w:t>
            </w:r>
          </w:p>
        </w:tc>
      </w:tr>
      <w:tr w:rsidR="0051076C" w:rsidRPr="007E69C7" w14:paraId="5F150742" w14:textId="77777777" w:rsidTr="00AB235B">
        <w:tc>
          <w:tcPr>
            <w:tcW w:w="9275" w:type="dxa"/>
            <w:gridSpan w:val="3"/>
          </w:tcPr>
          <w:p w14:paraId="618FA760" w14:textId="77777777" w:rsidR="0051076C" w:rsidRPr="001278B6" w:rsidRDefault="0051076C" w:rsidP="00C640C9">
            <w:pPr>
              <w:pStyle w:val="TableParagraph"/>
              <w:keepNext/>
              <w:keepLines/>
              <w:widowControl/>
              <w:adjustRightInd w:val="0"/>
              <w:snapToGrid w:val="0"/>
              <w:rPr>
                <w:snapToGrid w:val="0"/>
                <w:sz w:val="20"/>
                <w:lang w:val="da-DK"/>
              </w:rPr>
            </w:pPr>
            <w:r w:rsidRPr="001278B6">
              <w:rPr>
                <w:snapToGrid w:val="0"/>
                <w:sz w:val="20"/>
                <w:lang w:val="da-DK"/>
              </w:rPr>
              <w:t>Randomiserede patienter med stadie IV sygdom</w:t>
            </w:r>
          </w:p>
        </w:tc>
      </w:tr>
      <w:tr w:rsidR="00D61D11" w:rsidRPr="005476B6" w14:paraId="10557124" w14:textId="77777777" w:rsidTr="00F466A3">
        <w:trPr>
          <w:trHeight w:val="470"/>
        </w:trPr>
        <w:tc>
          <w:tcPr>
            <w:tcW w:w="3443" w:type="dxa"/>
            <w:tcBorders>
              <w:bottom w:val="single" w:sz="4" w:space="0" w:color="auto"/>
            </w:tcBorders>
          </w:tcPr>
          <w:p w14:paraId="44C452B5" w14:textId="77777777" w:rsidR="00D61D11" w:rsidRPr="001278B6" w:rsidRDefault="00D61D11" w:rsidP="00F466A3">
            <w:pPr>
              <w:pStyle w:val="TableParagraph"/>
              <w:keepNext/>
              <w:keepLines/>
              <w:widowControl/>
              <w:adjustRightInd w:val="0"/>
              <w:snapToGrid w:val="0"/>
              <w:rPr>
                <w:snapToGrid w:val="0"/>
                <w:sz w:val="20"/>
                <w:lang w:val="da-DK"/>
              </w:rPr>
            </w:pPr>
          </w:p>
        </w:tc>
        <w:tc>
          <w:tcPr>
            <w:tcW w:w="2434" w:type="dxa"/>
            <w:tcBorders>
              <w:bottom w:val="single" w:sz="4" w:space="0" w:color="auto"/>
            </w:tcBorders>
          </w:tcPr>
          <w:p w14:paraId="3AA5BA87"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CP</w:t>
            </w:r>
          </w:p>
          <w:p w14:paraId="02F19F8B"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(n = 97)</w:t>
            </w:r>
          </w:p>
        </w:tc>
        <w:tc>
          <w:tcPr>
            <w:tcW w:w="3415" w:type="dxa"/>
            <w:tcBorders>
              <w:bottom w:val="single" w:sz="4" w:space="0" w:color="auto"/>
            </w:tcBorders>
          </w:tcPr>
          <w:p w14:paraId="0A824A73"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CPB7,5+</w:t>
            </w:r>
          </w:p>
          <w:p w14:paraId="436EE509"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(n = 104)</w:t>
            </w:r>
          </w:p>
        </w:tc>
      </w:tr>
      <w:tr w:rsidR="003563EF" w:rsidRPr="005476B6" w14:paraId="3213F6C4" w14:textId="77777777" w:rsidTr="00F466A3">
        <w:tc>
          <w:tcPr>
            <w:tcW w:w="3443" w:type="dxa"/>
            <w:tcBorders>
              <w:top w:val="single" w:sz="4" w:space="0" w:color="auto"/>
              <w:bottom w:val="single" w:sz="4" w:space="0" w:color="auto"/>
            </w:tcBorders>
          </w:tcPr>
          <w:p w14:paraId="38E22554" w14:textId="77777777" w:rsidR="003563EF" w:rsidRPr="001278B6" w:rsidRDefault="00987AE4" w:rsidP="00F466A3">
            <w:pPr>
              <w:pStyle w:val="TableParagraph"/>
              <w:keepNext/>
              <w:keepLines/>
              <w:widowControl/>
              <w:adjustRightInd w:val="0"/>
              <w:snapToGrid w:val="0"/>
              <w:rPr>
                <w:snapToGrid w:val="0"/>
                <w:sz w:val="20"/>
                <w:lang w:val="da-DK"/>
              </w:rPr>
            </w:pPr>
            <w:r>
              <w:rPr>
                <w:snapToGrid w:val="0"/>
                <w:sz w:val="20"/>
                <w:lang w:val="da-DK"/>
              </w:rPr>
              <w:tab/>
            </w:r>
            <w:r w:rsidR="00473235" w:rsidRPr="001278B6">
              <w:rPr>
                <w:snapToGrid w:val="0"/>
                <w:sz w:val="20"/>
                <w:lang w:val="da-DK"/>
              </w:rPr>
              <w:t>Median PFS (måneder)</w:t>
            </w:r>
          </w:p>
        </w:tc>
        <w:tc>
          <w:tcPr>
            <w:tcW w:w="2434" w:type="dxa"/>
            <w:tcBorders>
              <w:top w:val="single" w:sz="4" w:space="0" w:color="auto"/>
              <w:bottom w:val="single" w:sz="4" w:space="0" w:color="auto"/>
            </w:tcBorders>
          </w:tcPr>
          <w:p w14:paraId="56BEEAA5"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10,1</w:t>
            </w:r>
          </w:p>
        </w:tc>
        <w:tc>
          <w:tcPr>
            <w:tcW w:w="3415" w:type="dxa"/>
            <w:tcBorders>
              <w:top w:val="single" w:sz="4" w:space="0" w:color="auto"/>
              <w:bottom w:val="single" w:sz="4" w:space="0" w:color="auto"/>
            </w:tcBorders>
          </w:tcPr>
          <w:p w14:paraId="753CA1B1"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13,5</w:t>
            </w:r>
          </w:p>
        </w:tc>
      </w:tr>
      <w:tr w:rsidR="00D61D11" w:rsidRPr="005476B6" w14:paraId="01DC58B5" w14:textId="77777777" w:rsidTr="00F466A3">
        <w:trPr>
          <w:trHeight w:val="470"/>
        </w:trPr>
        <w:tc>
          <w:tcPr>
            <w:tcW w:w="3443" w:type="dxa"/>
            <w:tcBorders>
              <w:top w:val="single" w:sz="4" w:space="0" w:color="auto"/>
            </w:tcBorders>
          </w:tcPr>
          <w:p w14:paraId="42EE9398" w14:textId="77777777" w:rsidR="00D61D11" w:rsidRPr="001278B6" w:rsidRDefault="00987AE4" w:rsidP="00F466A3">
            <w:pPr>
              <w:pStyle w:val="TableParagraph"/>
              <w:keepNext/>
              <w:keepLines/>
              <w:widowControl/>
              <w:adjustRightInd w:val="0"/>
              <w:snapToGrid w:val="0"/>
              <w:ind w:left="567" w:hanging="567"/>
              <w:rPr>
                <w:snapToGrid w:val="0"/>
                <w:sz w:val="20"/>
                <w:lang w:val="da-DK"/>
              </w:rPr>
            </w:pPr>
            <w:r>
              <w:rPr>
                <w:i/>
                <w:snapToGrid w:val="0"/>
                <w:sz w:val="20"/>
                <w:lang w:val="da-DK"/>
              </w:rPr>
              <w:tab/>
            </w:r>
            <w:r w:rsidR="00D61D11" w:rsidRPr="00D0579E">
              <w:rPr>
                <w:iCs/>
                <w:snapToGrid w:val="0"/>
                <w:sz w:val="20"/>
                <w:lang w:val="da-DK"/>
              </w:rPr>
              <w:t xml:space="preserve">Hazard </w:t>
            </w:r>
            <w:r w:rsidR="00D61D11" w:rsidRPr="001278B6">
              <w:rPr>
                <w:snapToGrid w:val="0"/>
                <w:sz w:val="20"/>
                <w:lang w:val="da-DK"/>
              </w:rPr>
              <w:t>ratio (95 % konfidensinterval)</w:t>
            </w:r>
            <w:r w:rsidR="00D61D11" w:rsidRPr="001278B6">
              <w:rPr>
                <w:snapToGrid w:val="0"/>
                <w:sz w:val="20"/>
                <w:vertAlign w:val="superscript"/>
                <w:lang w:val="da-DK"/>
              </w:rPr>
              <w:t>4</w:t>
            </w:r>
          </w:p>
        </w:tc>
        <w:tc>
          <w:tcPr>
            <w:tcW w:w="2434" w:type="dxa"/>
            <w:tcBorders>
              <w:top w:val="single" w:sz="4" w:space="0" w:color="auto"/>
            </w:tcBorders>
          </w:tcPr>
          <w:p w14:paraId="55A1189E" w14:textId="77777777" w:rsidR="00D61D11" w:rsidRPr="001278B6" w:rsidRDefault="00D61D11" w:rsidP="00F466A3">
            <w:pPr>
              <w:pStyle w:val="TableParagraph"/>
              <w:keepNext/>
              <w:keepLines/>
              <w:widowControl/>
              <w:adjustRightInd w:val="0"/>
              <w:snapToGrid w:val="0"/>
              <w:rPr>
                <w:snapToGrid w:val="0"/>
                <w:sz w:val="20"/>
                <w:lang w:val="da-DK"/>
              </w:rPr>
            </w:pPr>
          </w:p>
        </w:tc>
        <w:tc>
          <w:tcPr>
            <w:tcW w:w="3415" w:type="dxa"/>
            <w:tcBorders>
              <w:top w:val="single" w:sz="4" w:space="0" w:color="auto"/>
            </w:tcBorders>
          </w:tcPr>
          <w:p w14:paraId="203A3C8B"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0,74</w:t>
            </w:r>
          </w:p>
          <w:p w14:paraId="75315D7C" w14:textId="77777777" w:rsidR="00D61D11" w:rsidRPr="001278B6" w:rsidRDefault="00D61D11" w:rsidP="00F466A3">
            <w:pPr>
              <w:pStyle w:val="TableParagraph"/>
              <w:keepNext/>
              <w:keepLines/>
              <w:widowControl/>
              <w:adjustRightInd w:val="0"/>
              <w:snapToGrid w:val="0"/>
              <w:jc w:val="center"/>
              <w:rPr>
                <w:snapToGrid w:val="0"/>
                <w:sz w:val="20"/>
                <w:lang w:val="da-DK"/>
              </w:rPr>
            </w:pPr>
            <w:r w:rsidRPr="001278B6">
              <w:rPr>
                <w:snapToGrid w:val="0"/>
                <w:sz w:val="20"/>
                <w:lang w:val="da-DK"/>
              </w:rPr>
              <w:t>(0,55</w:t>
            </w:r>
            <w:r w:rsidR="004B3750">
              <w:rPr>
                <w:snapToGrid w:val="0"/>
                <w:sz w:val="20"/>
                <w:lang w:val="da-DK"/>
              </w:rPr>
              <w:noBreakHyphen/>
            </w:r>
            <w:r w:rsidRPr="001278B6">
              <w:rPr>
                <w:snapToGrid w:val="0"/>
                <w:sz w:val="20"/>
                <w:lang w:val="da-DK"/>
              </w:rPr>
              <w:t>1,01)</w:t>
            </w:r>
          </w:p>
        </w:tc>
      </w:tr>
    </w:tbl>
    <w:p w14:paraId="7D43D890" w14:textId="77777777" w:rsidR="003563EF" w:rsidRPr="001278B6" w:rsidRDefault="00473235" w:rsidP="001278B6">
      <w:pPr>
        <w:widowControl/>
        <w:adjustRightInd w:val="0"/>
        <w:snapToGrid w:val="0"/>
        <w:rPr>
          <w:snapToGrid w:val="0"/>
          <w:sz w:val="18"/>
          <w:szCs w:val="18"/>
          <w:lang w:val="da-DK"/>
        </w:rPr>
      </w:pPr>
      <w:r w:rsidRPr="001278B6">
        <w:rPr>
          <w:b/>
          <w:snapToGrid w:val="0"/>
          <w:sz w:val="18"/>
          <w:szCs w:val="18"/>
          <w:vertAlign w:val="superscript"/>
          <w:lang w:val="da-DK"/>
        </w:rPr>
        <w:t>1</w:t>
      </w:r>
      <w:r w:rsidRPr="001278B6">
        <w:rPr>
          <w:b/>
          <w:snapToGrid w:val="0"/>
          <w:sz w:val="18"/>
          <w:szCs w:val="18"/>
          <w:lang w:val="da-DK"/>
        </w:rPr>
        <w:t xml:space="preserve"> </w:t>
      </w:r>
      <w:r w:rsidRPr="001278B6">
        <w:rPr>
          <w:snapToGrid w:val="0"/>
          <w:sz w:val="18"/>
          <w:szCs w:val="18"/>
          <w:lang w:val="da-DK"/>
        </w:rPr>
        <w:t>Investigatorvurderet PFS</w:t>
      </w:r>
      <w:r w:rsidR="004B3750">
        <w:rPr>
          <w:snapToGrid w:val="0"/>
          <w:sz w:val="18"/>
          <w:szCs w:val="18"/>
          <w:lang w:val="da-DK"/>
        </w:rPr>
        <w:noBreakHyphen/>
      </w:r>
      <w:r w:rsidRPr="001278B6">
        <w:rPr>
          <w:snapToGrid w:val="0"/>
          <w:sz w:val="18"/>
          <w:szCs w:val="18"/>
          <w:lang w:val="da-DK"/>
        </w:rPr>
        <w:t xml:space="preserve">analyse med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den 30. november 2010.</w:t>
      </w:r>
    </w:p>
    <w:p w14:paraId="2ED81117"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lastRenderedPageBreak/>
        <w:t>2</w:t>
      </w:r>
      <w:r w:rsidRPr="001278B6">
        <w:rPr>
          <w:snapToGrid w:val="0"/>
          <w:sz w:val="18"/>
          <w:szCs w:val="18"/>
          <w:lang w:val="da-DK"/>
        </w:rPr>
        <w:t xml:space="preserve"> Med eller uden makroskopisk residualsygdom.</w:t>
      </w:r>
    </w:p>
    <w:p w14:paraId="321464D1"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3</w:t>
      </w:r>
      <w:r w:rsidRPr="001278B6">
        <w:rPr>
          <w:snapToGrid w:val="0"/>
          <w:sz w:val="18"/>
          <w:szCs w:val="18"/>
          <w:lang w:val="da-DK"/>
        </w:rPr>
        <w:t xml:space="preserve"> 5,8 % af den samlede randomiserede patientpopulation havde stadium III B sygdom.</w:t>
      </w:r>
    </w:p>
    <w:p w14:paraId="536C6803"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4</w:t>
      </w:r>
      <w:r w:rsidRPr="001278B6">
        <w:rPr>
          <w:snapToGrid w:val="0"/>
          <w:sz w:val="18"/>
          <w:szCs w:val="18"/>
          <w:lang w:val="da-DK"/>
        </w:rPr>
        <w:t xml:space="preserve"> I forhold til kontrolarmen.</w:t>
      </w:r>
    </w:p>
    <w:p w14:paraId="00DF1CE0" w14:textId="77777777" w:rsidR="003563EF" w:rsidRPr="001278B6" w:rsidRDefault="003563EF" w:rsidP="001278B6">
      <w:pPr>
        <w:pStyle w:val="a3"/>
        <w:widowControl/>
        <w:adjustRightInd w:val="0"/>
        <w:snapToGrid w:val="0"/>
        <w:rPr>
          <w:snapToGrid w:val="0"/>
          <w:lang w:val="da-DK"/>
        </w:rPr>
      </w:pPr>
    </w:p>
    <w:p w14:paraId="0A63726E"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Recidiverende ovariecancer</w:t>
      </w:r>
    </w:p>
    <w:p w14:paraId="24298A28" w14:textId="77777777" w:rsidR="003563EF" w:rsidRPr="001278B6" w:rsidRDefault="003563EF" w:rsidP="001278B6">
      <w:pPr>
        <w:pStyle w:val="a3"/>
        <w:keepNext/>
        <w:keepLines/>
        <w:widowControl/>
        <w:adjustRightInd w:val="0"/>
        <w:snapToGrid w:val="0"/>
        <w:rPr>
          <w:i/>
          <w:snapToGrid w:val="0"/>
          <w:lang w:val="da-DK"/>
        </w:rPr>
      </w:pPr>
    </w:p>
    <w:p w14:paraId="68A5D53E" w14:textId="5D8D9D34" w:rsidR="003563EF" w:rsidRPr="001278B6" w:rsidRDefault="00FE7FC1" w:rsidP="001278B6">
      <w:pPr>
        <w:pStyle w:val="a3"/>
        <w:widowControl/>
        <w:adjustRightInd w:val="0"/>
        <w:snapToGrid w:val="0"/>
        <w:rPr>
          <w:snapToGrid w:val="0"/>
          <w:lang w:val="da-DK"/>
        </w:rPr>
      </w:pPr>
      <w:r w:rsidRPr="00E11D6F">
        <w:rPr>
          <w:lang w:val="da-DK"/>
        </w:rPr>
        <w:t>Bevacizumabs</w:t>
      </w:r>
      <w:r w:rsidR="00473235" w:rsidRPr="001278B6">
        <w:rPr>
          <w:snapToGrid w:val="0"/>
          <w:lang w:val="da-DK"/>
        </w:rPr>
        <w:t xml:space="preserve"> sikkerhed og virkning ved behandling af recidiverende epitelial ovariecancer, tubacancer og primær peritonealcancer blev undersøgt i tre fase III</w:t>
      </w:r>
      <w:r w:rsidR="004B3750">
        <w:rPr>
          <w:snapToGrid w:val="0"/>
          <w:lang w:val="da-DK"/>
        </w:rPr>
        <w:noBreakHyphen/>
      </w:r>
      <w:r w:rsidR="00473235" w:rsidRPr="001278B6">
        <w:rPr>
          <w:snapToGrid w:val="0"/>
          <w:lang w:val="da-DK"/>
        </w:rPr>
        <w:t>studier (AVF4095g, MO22224 og GOG</w:t>
      </w:r>
      <w:r w:rsidR="004B3750">
        <w:rPr>
          <w:snapToGrid w:val="0"/>
          <w:lang w:val="da-DK"/>
        </w:rPr>
        <w:noBreakHyphen/>
      </w:r>
      <w:r w:rsidR="00473235" w:rsidRPr="001278B6">
        <w:rPr>
          <w:snapToGrid w:val="0"/>
          <w:lang w:val="da-DK"/>
        </w:rPr>
        <w:t>0213) hos forskellige patientpopulationer og med forskellige kemoterapiregimer.</w:t>
      </w:r>
    </w:p>
    <w:p w14:paraId="3CF29044" w14:textId="77777777" w:rsidR="003563EF" w:rsidRPr="001278B6" w:rsidRDefault="003563EF" w:rsidP="001278B6">
      <w:pPr>
        <w:pStyle w:val="a3"/>
        <w:widowControl/>
        <w:adjustRightInd w:val="0"/>
        <w:snapToGrid w:val="0"/>
        <w:rPr>
          <w:snapToGrid w:val="0"/>
          <w:lang w:val="da-DK"/>
        </w:rPr>
      </w:pPr>
    </w:p>
    <w:p w14:paraId="40954FAE" w14:textId="77777777" w:rsidR="003563EF" w:rsidRPr="001278B6" w:rsidRDefault="00473235" w:rsidP="001278B6">
      <w:pPr>
        <w:pStyle w:val="Bullet1"/>
        <w:widowControl/>
        <w:rPr>
          <w:lang w:val="da-DK"/>
        </w:rPr>
      </w:pPr>
      <w:r w:rsidRPr="001278B6">
        <w:rPr>
          <w:lang w:val="da-DK"/>
        </w:rPr>
        <w:t>AVF4095g evaluerede bevacizumabs virkning og sikkerhed i kombination med carboplatin og gemcitabin, efterfulgt af bevacizumab som monoterapi, hos patienter med platinfølsom, recidiverende epitelial ovariecancer, tubacancer eller primær peritonealcancer.</w:t>
      </w:r>
    </w:p>
    <w:p w14:paraId="3B1E8AEC" w14:textId="77777777" w:rsidR="003563EF" w:rsidRPr="001278B6" w:rsidRDefault="00473235" w:rsidP="001278B6">
      <w:pPr>
        <w:pStyle w:val="Bullet1"/>
        <w:widowControl/>
        <w:rPr>
          <w:lang w:val="da-DK"/>
        </w:rPr>
      </w:pPr>
      <w:r w:rsidRPr="001278B6">
        <w:rPr>
          <w:lang w:val="da-DK"/>
        </w:rPr>
        <w:t>GOG</w:t>
      </w:r>
      <w:r w:rsidR="004B3750">
        <w:rPr>
          <w:lang w:val="da-DK"/>
        </w:rPr>
        <w:noBreakHyphen/>
      </w:r>
      <w:r w:rsidRPr="001278B6">
        <w:rPr>
          <w:lang w:val="da-DK"/>
        </w:rPr>
        <w:t>0213 evaluerede bevacizumabs virkning og sikkerhed i kombination med carboplatin og paclitaxel, efterfulgt af bevacizumab som monoterapi, hos patienter med platinfølsom, recidiverende epitelial ovariecancer, tubacancer eller primær peritonealcancer.</w:t>
      </w:r>
    </w:p>
    <w:p w14:paraId="1DC448DE" w14:textId="77777777" w:rsidR="003563EF" w:rsidRPr="001278B6" w:rsidRDefault="00473235" w:rsidP="001278B6">
      <w:pPr>
        <w:pStyle w:val="Bullet1"/>
        <w:widowControl/>
        <w:rPr>
          <w:lang w:val="da-DK"/>
        </w:rPr>
      </w:pPr>
      <w:r w:rsidRPr="001278B6">
        <w:rPr>
          <w:lang w:val="da-DK"/>
        </w:rPr>
        <w:t>MO22224 evaluerede bevacizumabs virkning og sikkerhed i kombination med paclitaxel, topotecan eller pegyleret liposomal doxorubicin hos patienter med platinresistent, recidiverende epitelial ovariecancer, tubacancer eller primær peritonealcancer.</w:t>
      </w:r>
    </w:p>
    <w:p w14:paraId="0E2C2AEB" w14:textId="77777777" w:rsidR="003563EF" w:rsidRPr="001278B6" w:rsidRDefault="003563EF" w:rsidP="001278B6">
      <w:pPr>
        <w:pStyle w:val="a3"/>
        <w:widowControl/>
        <w:adjustRightInd w:val="0"/>
        <w:snapToGrid w:val="0"/>
        <w:rPr>
          <w:snapToGrid w:val="0"/>
          <w:lang w:val="da-DK"/>
        </w:rPr>
      </w:pPr>
    </w:p>
    <w:p w14:paraId="4F772AAC"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AVF4095g</w:t>
      </w:r>
    </w:p>
    <w:p w14:paraId="29ACF642" w14:textId="1035C067" w:rsidR="003563EF" w:rsidRPr="001278B6" w:rsidRDefault="00FE7FC1" w:rsidP="001278B6">
      <w:pPr>
        <w:pStyle w:val="a3"/>
        <w:widowControl/>
        <w:adjustRightInd w:val="0"/>
        <w:snapToGrid w:val="0"/>
        <w:rPr>
          <w:snapToGrid w:val="0"/>
          <w:lang w:val="da-DK"/>
        </w:rPr>
      </w:pPr>
      <w:r w:rsidRPr="00E11D6F">
        <w:rPr>
          <w:lang w:val="da-DK"/>
        </w:rPr>
        <w:t>Bevacizumabs</w:t>
      </w:r>
      <w:r w:rsidR="00473235" w:rsidRPr="001278B6">
        <w:rPr>
          <w:snapToGrid w:val="0"/>
          <w:lang w:val="da-DK"/>
        </w:rPr>
        <w:t xml:space="preserve"> sikkerhed og virkning ved behandling af platinfølsom, recidiverende epitelial ovariecancer, tubacancer eller primær peritonealcancer hos patienter, som ikke tidligere havde fået kemoterapi for recidiverende sygdom eller bevacizumab</w:t>
      </w:r>
      <w:r w:rsidR="004B3750">
        <w:rPr>
          <w:snapToGrid w:val="0"/>
          <w:lang w:val="da-DK"/>
        </w:rPr>
        <w:noBreakHyphen/>
      </w:r>
      <w:r w:rsidR="00473235" w:rsidRPr="001278B6">
        <w:rPr>
          <w:snapToGrid w:val="0"/>
          <w:lang w:val="da-DK"/>
        </w:rPr>
        <w:t xml:space="preserve">behandling, blev undersøgt i et fase III, randomiseret, dobbeltblindet, placebokontrolleret studie (AVF4095g). Studiet sammenlignede effekten af at tilføje </w:t>
      </w:r>
      <w:r w:rsidRPr="00E11D6F">
        <w:rPr>
          <w:lang w:val="da-DK"/>
        </w:rPr>
        <w:t>bevacizumab</w:t>
      </w:r>
      <w:r w:rsidR="00473235" w:rsidRPr="001278B6">
        <w:rPr>
          <w:snapToGrid w:val="0"/>
          <w:lang w:val="da-DK"/>
        </w:rPr>
        <w:t xml:space="preserve"> til carboplatin plus gemcitabin</w:t>
      </w:r>
      <w:r w:rsidR="004B3750">
        <w:rPr>
          <w:snapToGrid w:val="0"/>
          <w:lang w:val="da-DK"/>
        </w:rPr>
        <w:noBreakHyphen/>
      </w:r>
      <w:r w:rsidR="00473235" w:rsidRPr="001278B6">
        <w:rPr>
          <w:snapToGrid w:val="0"/>
          <w:lang w:val="da-DK"/>
        </w:rPr>
        <w:t xml:space="preserve">kemoterapi og fortsætte med </w:t>
      </w:r>
      <w:r w:rsidRPr="00E11D6F">
        <w:rPr>
          <w:lang w:val="da-DK"/>
        </w:rPr>
        <w:t>bevacizumab</w:t>
      </w:r>
      <w:r w:rsidR="00473235" w:rsidRPr="001278B6">
        <w:rPr>
          <w:snapToGrid w:val="0"/>
          <w:lang w:val="da-DK"/>
        </w:rPr>
        <w:t xml:space="preserve"> i monoterapi til progression, med behandling med carboplatin plus gemcitabin alene.</w:t>
      </w:r>
    </w:p>
    <w:p w14:paraId="6B6FF96C" w14:textId="77777777" w:rsidR="003563EF" w:rsidRPr="001278B6" w:rsidRDefault="003563EF" w:rsidP="001278B6">
      <w:pPr>
        <w:pStyle w:val="a3"/>
        <w:widowControl/>
        <w:adjustRightInd w:val="0"/>
        <w:snapToGrid w:val="0"/>
        <w:rPr>
          <w:snapToGrid w:val="0"/>
          <w:lang w:val="da-DK"/>
        </w:rPr>
      </w:pPr>
    </w:p>
    <w:p w14:paraId="41C08DF5" w14:textId="77777777" w:rsidR="003563EF" w:rsidRPr="001278B6" w:rsidRDefault="00473235" w:rsidP="001278B6">
      <w:pPr>
        <w:pStyle w:val="a3"/>
        <w:widowControl/>
        <w:adjustRightInd w:val="0"/>
        <w:snapToGrid w:val="0"/>
        <w:rPr>
          <w:snapToGrid w:val="0"/>
          <w:lang w:val="da-DK"/>
        </w:rPr>
      </w:pPr>
      <w:r w:rsidRPr="001278B6">
        <w:rPr>
          <w:snapToGrid w:val="0"/>
          <w:lang w:val="da-DK"/>
        </w:rPr>
        <w:t>Kun patienter, som havde histologisk dokumenteret ovariecancer, primært peritonealcancer eller tubacancer, som havde recidiv ˃6 måneder efter platinbaseret kemoterapi, som ikke havde fået</w:t>
      </w:r>
      <w:r w:rsidR="00A27AE2">
        <w:rPr>
          <w:snapToGrid w:val="0"/>
          <w:lang w:val="da-DK"/>
        </w:rPr>
        <w:t xml:space="preserve"> </w:t>
      </w:r>
      <w:r w:rsidRPr="001278B6">
        <w:rPr>
          <w:snapToGrid w:val="0"/>
          <w:lang w:val="da-DK"/>
        </w:rPr>
        <w:t>kemoterapi for recidiverende sygdom, og som ikke tidligere havde fået bevacizumab eller behandling med andre VEGF</w:t>
      </w:r>
      <w:r w:rsidR="004B3750">
        <w:rPr>
          <w:snapToGrid w:val="0"/>
          <w:lang w:val="da-DK"/>
        </w:rPr>
        <w:noBreakHyphen/>
      </w:r>
      <w:r w:rsidRPr="001278B6">
        <w:rPr>
          <w:snapToGrid w:val="0"/>
          <w:lang w:val="da-DK"/>
        </w:rPr>
        <w:t>hæmmere eller VEGF</w:t>
      </w:r>
      <w:r w:rsidR="004B3750">
        <w:rPr>
          <w:snapToGrid w:val="0"/>
          <w:lang w:val="da-DK"/>
        </w:rPr>
        <w:noBreakHyphen/>
      </w:r>
      <w:r w:rsidRPr="001278B6">
        <w:rPr>
          <w:snapToGrid w:val="0"/>
          <w:lang w:val="da-DK"/>
        </w:rPr>
        <w:t>receptor</w:t>
      </w:r>
      <w:r w:rsidR="004B3750">
        <w:rPr>
          <w:snapToGrid w:val="0"/>
          <w:lang w:val="da-DK"/>
        </w:rPr>
        <w:noBreakHyphen/>
      </w:r>
      <w:r w:rsidRPr="001278B6">
        <w:rPr>
          <w:snapToGrid w:val="0"/>
          <w:lang w:val="da-DK"/>
        </w:rPr>
        <w:t>målrettede lægemidler, blev inkluderet i studiet.</w:t>
      </w:r>
    </w:p>
    <w:p w14:paraId="1312D53C" w14:textId="77777777" w:rsidR="003563EF" w:rsidRPr="001278B6" w:rsidRDefault="003563EF" w:rsidP="001278B6">
      <w:pPr>
        <w:pStyle w:val="a3"/>
        <w:widowControl/>
        <w:adjustRightInd w:val="0"/>
        <w:snapToGrid w:val="0"/>
        <w:rPr>
          <w:snapToGrid w:val="0"/>
          <w:lang w:val="da-DK"/>
        </w:rPr>
      </w:pPr>
    </w:p>
    <w:p w14:paraId="548B217B"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I alt blev 484 patienter med målbar sygdom blev randomiseret 2:1 til enten:</w:t>
      </w:r>
    </w:p>
    <w:p w14:paraId="78905ED8" w14:textId="77777777" w:rsidR="003563EF" w:rsidRPr="001278B6" w:rsidRDefault="00473235" w:rsidP="001278B6">
      <w:pPr>
        <w:pStyle w:val="Bullet1"/>
        <w:widowControl/>
        <w:rPr>
          <w:lang w:val="da-DK"/>
        </w:rPr>
      </w:pPr>
      <w:r w:rsidRPr="001278B6">
        <w:rPr>
          <w:lang w:val="da-DK"/>
        </w:rPr>
        <w:t>Carboplatin (AUC4, dag 1) og gemcitabin (1.000</w:t>
      </w:r>
      <w:r w:rsidR="005279CC">
        <w:rPr>
          <w:lang w:val="da-DK"/>
        </w:rPr>
        <w:t> mg</w:t>
      </w:r>
      <w:r w:rsidRPr="001278B6">
        <w:rPr>
          <w:lang w:val="da-DK"/>
        </w:rPr>
        <w:t>/m</w:t>
      </w:r>
      <w:r w:rsidRPr="001278B6">
        <w:rPr>
          <w:vertAlign w:val="superscript"/>
          <w:lang w:val="da-DK"/>
        </w:rPr>
        <w:t>2</w:t>
      </w:r>
      <w:r w:rsidRPr="001278B6">
        <w:rPr>
          <w:lang w:val="da-DK"/>
        </w:rPr>
        <w:t xml:space="preserve"> på dag 1 og 8) samtidig med placebo hver 3. uge i 6 og op til 10 behandlingsserier, efterfulgt af placebo (hver 3. uge) som monoterapi indtil sygdomsprogresssion eller uacceptabel toksicitet.</w:t>
      </w:r>
    </w:p>
    <w:p w14:paraId="55938BA3" w14:textId="77777777" w:rsidR="003563EF" w:rsidRPr="001278B6" w:rsidRDefault="00473235" w:rsidP="001278B6">
      <w:pPr>
        <w:pStyle w:val="Bullet1"/>
        <w:widowControl/>
        <w:rPr>
          <w:lang w:val="da-DK"/>
        </w:rPr>
      </w:pPr>
      <w:r w:rsidRPr="001278B6">
        <w:rPr>
          <w:lang w:val="da-DK"/>
        </w:rPr>
        <w:t>Carboplatin (AUC4, dag 1) og gemcitabin (1.000</w:t>
      </w:r>
      <w:r w:rsidR="005279CC">
        <w:rPr>
          <w:lang w:val="da-DK"/>
        </w:rPr>
        <w:t> mg</w:t>
      </w:r>
      <w:r w:rsidRPr="001278B6">
        <w:rPr>
          <w:lang w:val="da-DK"/>
        </w:rPr>
        <w:t>/m</w:t>
      </w:r>
      <w:r w:rsidRPr="001278B6">
        <w:rPr>
          <w:vertAlign w:val="superscript"/>
          <w:lang w:val="da-DK"/>
        </w:rPr>
        <w:t>2</w:t>
      </w:r>
      <w:r w:rsidRPr="001278B6">
        <w:rPr>
          <w:lang w:val="da-DK"/>
        </w:rPr>
        <w:t xml:space="preserve"> på dag 1 og 8) samtidig med </w:t>
      </w:r>
      <w:r w:rsidR="00C805DA">
        <w:rPr>
          <w:lang w:val="da-DK"/>
        </w:rPr>
        <w:t>bevacizumab</w:t>
      </w:r>
      <w:r w:rsidRPr="001278B6">
        <w:rPr>
          <w:lang w:val="da-DK"/>
        </w:rPr>
        <w:t xml:space="preserve"> (15</w:t>
      </w:r>
      <w:r w:rsidR="005279CC">
        <w:rPr>
          <w:lang w:val="da-DK"/>
        </w:rPr>
        <w:t> mg</w:t>
      </w:r>
      <w:r w:rsidRPr="001278B6">
        <w:rPr>
          <w:lang w:val="da-DK"/>
        </w:rPr>
        <w:t xml:space="preserve">/kg, dag 1) hver 3. uge i 6 og op til 10 behandlingsserier, efterfulgt af </w:t>
      </w:r>
      <w:r w:rsidR="00C805DA">
        <w:rPr>
          <w:lang w:val="da-DK"/>
        </w:rPr>
        <w:t>bevacizumab</w:t>
      </w:r>
      <w:r w:rsidRPr="001278B6">
        <w:rPr>
          <w:lang w:val="da-DK"/>
        </w:rPr>
        <w:t xml:space="preserve"> (15</w:t>
      </w:r>
      <w:r w:rsidR="00F57FFC">
        <w:rPr>
          <w:lang w:val="da-DK"/>
        </w:rPr>
        <w:t> </w:t>
      </w:r>
      <w:r w:rsidRPr="001278B6">
        <w:rPr>
          <w:lang w:val="da-DK"/>
        </w:rPr>
        <w:t>mg/kg hver 3. uge) som monoterapi indtil sygdomsprogresssion eller uacceptabel toksicitet.</w:t>
      </w:r>
    </w:p>
    <w:p w14:paraId="1860E022" w14:textId="77777777" w:rsidR="003563EF" w:rsidRPr="001278B6" w:rsidRDefault="003563EF" w:rsidP="001278B6">
      <w:pPr>
        <w:pStyle w:val="a3"/>
        <w:widowControl/>
        <w:adjustRightInd w:val="0"/>
        <w:snapToGrid w:val="0"/>
        <w:rPr>
          <w:snapToGrid w:val="0"/>
          <w:lang w:val="da-DK"/>
        </w:rPr>
      </w:pPr>
    </w:p>
    <w:p w14:paraId="57832BC0" w14:textId="4D07DE9A" w:rsidR="003563EF" w:rsidRPr="001278B6" w:rsidRDefault="00473235" w:rsidP="001278B6">
      <w:pPr>
        <w:pStyle w:val="a3"/>
        <w:widowControl/>
        <w:adjustRightInd w:val="0"/>
        <w:snapToGrid w:val="0"/>
        <w:rPr>
          <w:snapToGrid w:val="0"/>
          <w:lang w:val="da-DK"/>
        </w:rPr>
      </w:pPr>
      <w:r w:rsidRPr="001278B6">
        <w:rPr>
          <w:snapToGrid w:val="0"/>
          <w:lang w:val="da-DK"/>
        </w:rPr>
        <w:t xml:space="preserve">Det primære endepunkt var </w:t>
      </w:r>
      <w:r w:rsidR="001020B7">
        <w:rPr>
          <w:snapToGrid w:val="0"/>
          <w:lang w:val="da-DK"/>
        </w:rPr>
        <w:t>PFS</w:t>
      </w:r>
      <w:r w:rsidRPr="001278B6">
        <w:rPr>
          <w:snapToGrid w:val="0"/>
          <w:lang w:val="da-DK"/>
        </w:rPr>
        <w:t xml:space="preserve"> vurderet af investigator ved brug af modificeret RECIST 1.0. Yderligere endepunkter inkluderede objektivt respons, responsvarighed, </w:t>
      </w:r>
      <w:r w:rsidR="001020B7">
        <w:rPr>
          <w:snapToGrid w:val="0"/>
          <w:lang w:val="da-DK"/>
        </w:rPr>
        <w:t>OS</w:t>
      </w:r>
      <w:r w:rsidRPr="001278B6">
        <w:rPr>
          <w:snapToGrid w:val="0"/>
          <w:lang w:val="da-DK"/>
        </w:rPr>
        <w:t xml:space="preserve"> og sikkerhed. Der blev også udført en uafhængig vurdering af det primære endepunkt.</w:t>
      </w:r>
    </w:p>
    <w:p w14:paraId="5E3255D1" w14:textId="77777777" w:rsidR="003563EF" w:rsidRPr="001278B6" w:rsidRDefault="003563EF" w:rsidP="001278B6">
      <w:pPr>
        <w:pStyle w:val="a3"/>
        <w:widowControl/>
        <w:adjustRightInd w:val="0"/>
        <w:snapToGrid w:val="0"/>
        <w:rPr>
          <w:snapToGrid w:val="0"/>
          <w:lang w:val="da-DK"/>
        </w:rPr>
      </w:pPr>
    </w:p>
    <w:p w14:paraId="4C131070" w14:textId="77777777" w:rsidR="003563EF" w:rsidRPr="001278B6" w:rsidRDefault="00473235" w:rsidP="001278B6">
      <w:pPr>
        <w:pStyle w:val="a3"/>
        <w:widowControl/>
        <w:adjustRightInd w:val="0"/>
        <w:snapToGrid w:val="0"/>
        <w:rPr>
          <w:snapToGrid w:val="0"/>
          <w:lang w:val="da-DK"/>
        </w:rPr>
      </w:pPr>
      <w:r w:rsidRPr="001278B6">
        <w:rPr>
          <w:snapToGrid w:val="0"/>
          <w:lang w:val="da-DK"/>
        </w:rPr>
        <w:t>Resultater fra studiet er opsummeret i tabel 20.</w:t>
      </w:r>
    </w:p>
    <w:p w14:paraId="126A668B" w14:textId="77777777" w:rsidR="003563EF" w:rsidRPr="001278B6" w:rsidRDefault="003563EF" w:rsidP="001278B6">
      <w:pPr>
        <w:pStyle w:val="a3"/>
        <w:widowControl/>
        <w:adjustRightInd w:val="0"/>
        <w:snapToGrid w:val="0"/>
        <w:rPr>
          <w:snapToGrid w:val="0"/>
          <w:lang w:val="da-DK"/>
        </w:rPr>
      </w:pPr>
    </w:p>
    <w:p w14:paraId="16EC8B69" w14:textId="77777777" w:rsidR="003563EF" w:rsidRPr="00E85219" w:rsidRDefault="00473235" w:rsidP="00E85219">
      <w:pPr>
        <w:keepNext/>
        <w:keepLines/>
        <w:ind w:left="1134" w:hanging="1134"/>
        <w:rPr>
          <w:b/>
          <w:bCs/>
          <w:snapToGrid w:val="0"/>
          <w:lang w:val="da-DK"/>
        </w:rPr>
      </w:pPr>
      <w:r w:rsidRPr="00E85219">
        <w:rPr>
          <w:b/>
          <w:bCs/>
          <w:snapToGrid w:val="0"/>
          <w:lang w:val="da-DK"/>
        </w:rPr>
        <w:lastRenderedPageBreak/>
        <w:t>Tabel 20.</w:t>
      </w:r>
      <w:r w:rsidRPr="00E85219">
        <w:rPr>
          <w:b/>
          <w:bCs/>
          <w:snapToGrid w:val="0"/>
          <w:lang w:val="da-DK"/>
        </w:rPr>
        <w:tab/>
        <w:t>Effektresultater fra studie AVF4095</w:t>
      </w:r>
    </w:p>
    <w:p w14:paraId="0BACF55E" w14:textId="77777777" w:rsidR="003563EF" w:rsidRPr="001278B6" w:rsidRDefault="003563EF" w:rsidP="00E85219">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1643"/>
        <w:gridCol w:w="1840"/>
        <w:gridCol w:w="353"/>
        <w:gridCol w:w="1187"/>
        <w:gridCol w:w="1767"/>
      </w:tblGrid>
      <w:tr w:rsidR="003563EF" w:rsidRPr="005476B6" w14:paraId="152984E0" w14:textId="77777777" w:rsidTr="001278B6">
        <w:trPr>
          <w:cantSplit/>
        </w:trPr>
        <w:tc>
          <w:tcPr>
            <w:tcW w:w="9288" w:type="dxa"/>
            <w:gridSpan w:val="6"/>
          </w:tcPr>
          <w:p w14:paraId="054DCFCC" w14:textId="77777777" w:rsidR="003563EF" w:rsidRPr="001278B6" w:rsidRDefault="00473235" w:rsidP="0092341E">
            <w:pPr>
              <w:pStyle w:val="TableParagraph"/>
              <w:keepNext/>
              <w:keepLines/>
              <w:widowControl/>
              <w:adjustRightInd w:val="0"/>
              <w:snapToGrid w:val="0"/>
              <w:rPr>
                <w:b/>
                <w:bCs/>
                <w:snapToGrid w:val="0"/>
                <w:sz w:val="20"/>
                <w:lang w:val="da-DK"/>
              </w:rPr>
            </w:pPr>
            <w:r w:rsidRPr="001278B6">
              <w:rPr>
                <w:b/>
                <w:bCs/>
                <w:snapToGrid w:val="0"/>
                <w:sz w:val="20"/>
                <w:u w:val="single"/>
                <w:lang w:val="da-DK"/>
              </w:rPr>
              <w:t>Progressionsfri overlevelse</w:t>
            </w:r>
          </w:p>
        </w:tc>
      </w:tr>
      <w:tr w:rsidR="003563EF" w:rsidRPr="005476B6" w14:paraId="4380F38B" w14:textId="77777777" w:rsidTr="001278B6">
        <w:trPr>
          <w:cantSplit/>
        </w:trPr>
        <w:tc>
          <w:tcPr>
            <w:tcW w:w="2333" w:type="dxa"/>
          </w:tcPr>
          <w:p w14:paraId="74DB4EF4" w14:textId="77777777" w:rsidR="003563EF" w:rsidRPr="001278B6" w:rsidRDefault="003563EF" w:rsidP="0092341E">
            <w:pPr>
              <w:pStyle w:val="TableParagraph"/>
              <w:keepNext/>
              <w:keepLines/>
              <w:widowControl/>
              <w:adjustRightInd w:val="0"/>
              <w:snapToGrid w:val="0"/>
              <w:rPr>
                <w:snapToGrid w:val="0"/>
                <w:sz w:val="20"/>
                <w:lang w:val="da-DK"/>
              </w:rPr>
            </w:pPr>
          </w:p>
        </w:tc>
        <w:tc>
          <w:tcPr>
            <w:tcW w:w="3568" w:type="dxa"/>
            <w:gridSpan w:val="2"/>
          </w:tcPr>
          <w:p w14:paraId="1C70CEB8"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Investigators vurdering</w:t>
            </w:r>
          </w:p>
        </w:tc>
        <w:tc>
          <w:tcPr>
            <w:tcW w:w="3387" w:type="dxa"/>
            <w:gridSpan w:val="3"/>
          </w:tcPr>
          <w:p w14:paraId="2EB727DC"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u w:val="single"/>
                <w:lang w:val="da-DK"/>
              </w:rPr>
              <w:t>Uafhængig vurdering</w:t>
            </w:r>
          </w:p>
        </w:tc>
      </w:tr>
      <w:tr w:rsidR="003563EF" w:rsidRPr="005476B6" w14:paraId="1AA90C38" w14:textId="77777777" w:rsidTr="001278B6">
        <w:trPr>
          <w:cantSplit/>
        </w:trPr>
        <w:tc>
          <w:tcPr>
            <w:tcW w:w="2333" w:type="dxa"/>
          </w:tcPr>
          <w:p w14:paraId="450C066B" w14:textId="77777777" w:rsidR="003563EF" w:rsidRPr="001278B6" w:rsidRDefault="003563EF" w:rsidP="0092341E">
            <w:pPr>
              <w:pStyle w:val="TableParagraph"/>
              <w:keepNext/>
              <w:keepLines/>
              <w:widowControl/>
              <w:adjustRightInd w:val="0"/>
              <w:snapToGrid w:val="0"/>
              <w:rPr>
                <w:snapToGrid w:val="0"/>
                <w:sz w:val="20"/>
                <w:lang w:val="da-DK"/>
              </w:rPr>
            </w:pPr>
          </w:p>
        </w:tc>
        <w:tc>
          <w:tcPr>
            <w:tcW w:w="1683" w:type="dxa"/>
          </w:tcPr>
          <w:p w14:paraId="795F186D" w14:textId="77777777" w:rsidR="00F57FFC"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Placebo+ C/G</w:t>
            </w:r>
          </w:p>
          <w:p w14:paraId="5038FA78"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242)</w:t>
            </w:r>
          </w:p>
        </w:tc>
        <w:tc>
          <w:tcPr>
            <w:tcW w:w="1885" w:type="dxa"/>
          </w:tcPr>
          <w:p w14:paraId="34EDA496" w14:textId="77777777" w:rsidR="00F57FFC" w:rsidRDefault="00C805DA" w:rsidP="0092341E">
            <w:pPr>
              <w:pStyle w:val="TableParagraph"/>
              <w:keepNext/>
              <w:keepLines/>
              <w:widowControl/>
              <w:adjustRightInd w:val="0"/>
              <w:snapToGrid w:val="0"/>
              <w:jc w:val="center"/>
              <w:rPr>
                <w:snapToGrid w:val="0"/>
                <w:sz w:val="20"/>
                <w:lang w:val="da-DK"/>
              </w:rPr>
            </w:pPr>
            <w:r>
              <w:rPr>
                <w:snapToGrid w:val="0"/>
                <w:lang w:val="da-DK"/>
              </w:rPr>
              <w:t>Bevacizumab</w:t>
            </w:r>
            <w:r w:rsidR="00473235" w:rsidRPr="001278B6">
              <w:rPr>
                <w:snapToGrid w:val="0"/>
                <w:sz w:val="20"/>
                <w:lang w:val="da-DK"/>
              </w:rPr>
              <w:t xml:space="preserve"> + C/G</w:t>
            </w:r>
          </w:p>
          <w:p w14:paraId="1BCFE3EA"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242)</w:t>
            </w:r>
          </w:p>
        </w:tc>
        <w:tc>
          <w:tcPr>
            <w:tcW w:w="1577" w:type="dxa"/>
            <w:gridSpan w:val="2"/>
          </w:tcPr>
          <w:p w14:paraId="11673E2F" w14:textId="77777777" w:rsidR="00F57FFC"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Placebo+ C/G</w:t>
            </w:r>
          </w:p>
          <w:p w14:paraId="40C95110"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242)</w:t>
            </w:r>
          </w:p>
        </w:tc>
        <w:tc>
          <w:tcPr>
            <w:tcW w:w="1810" w:type="dxa"/>
          </w:tcPr>
          <w:p w14:paraId="0637B14D" w14:textId="77777777" w:rsidR="00F57FFC" w:rsidRDefault="00C805DA" w:rsidP="0092341E">
            <w:pPr>
              <w:pStyle w:val="TableParagraph"/>
              <w:keepNext/>
              <w:keepLines/>
              <w:widowControl/>
              <w:adjustRightInd w:val="0"/>
              <w:snapToGrid w:val="0"/>
              <w:jc w:val="center"/>
              <w:rPr>
                <w:snapToGrid w:val="0"/>
                <w:sz w:val="20"/>
                <w:lang w:val="da-DK"/>
              </w:rPr>
            </w:pPr>
            <w:r>
              <w:t>B</w:t>
            </w:r>
            <w:r w:rsidRPr="00051658">
              <w:t>evacizumab</w:t>
            </w:r>
            <w:r w:rsidR="00473235" w:rsidRPr="001278B6">
              <w:rPr>
                <w:snapToGrid w:val="0"/>
                <w:sz w:val="20"/>
                <w:lang w:val="da-DK"/>
              </w:rPr>
              <w:t xml:space="preserve"> + C/G</w:t>
            </w:r>
          </w:p>
          <w:p w14:paraId="21998C53" w14:textId="77777777" w:rsidR="003563EF" w:rsidRPr="001278B6" w:rsidRDefault="00473235" w:rsidP="0092341E">
            <w:pPr>
              <w:pStyle w:val="TableParagraph"/>
              <w:keepNext/>
              <w:keepLines/>
              <w:widowControl/>
              <w:adjustRightInd w:val="0"/>
              <w:snapToGrid w:val="0"/>
              <w:jc w:val="center"/>
              <w:rPr>
                <w:snapToGrid w:val="0"/>
                <w:sz w:val="20"/>
                <w:lang w:val="da-DK"/>
              </w:rPr>
            </w:pPr>
            <w:r w:rsidRPr="001278B6">
              <w:rPr>
                <w:snapToGrid w:val="0"/>
                <w:sz w:val="20"/>
                <w:lang w:val="da-DK"/>
              </w:rPr>
              <w:t>(n = 242)</w:t>
            </w:r>
          </w:p>
        </w:tc>
      </w:tr>
      <w:tr w:rsidR="003563EF" w:rsidRPr="005476B6" w14:paraId="4AF7A3CF" w14:textId="77777777" w:rsidTr="001278B6">
        <w:trPr>
          <w:cantSplit/>
        </w:trPr>
        <w:tc>
          <w:tcPr>
            <w:tcW w:w="2333" w:type="dxa"/>
          </w:tcPr>
          <w:p w14:paraId="62467F6E" w14:textId="77777777" w:rsidR="003563EF" w:rsidRPr="001278B6" w:rsidRDefault="00473235" w:rsidP="00051658">
            <w:pPr>
              <w:pStyle w:val="TableParagraph"/>
              <w:keepNext/>
              <w:keepLines/>
              <w:widowControl/>
              <w:adjustRightInd w:val="0"/>
              <w:snapToGrid w:val="0"/>
              <w:rPr>
                <w:i/>
                <w:snapToGrid w:val="0"/>
                <w:sz w:val="20"/>
                <w:lang w:val="da-DK"/>
              </w:rPr>
            </w:pPr>
            <w:r w:rsidRPr="001278B6">
              <w:rPr>
                <w:i/>
                <w:snapToGrid w:val="0"/>
                <w:sz w:val="20"/>
                <w:lang w:val="da-DK"/>
              </w:rPr>
              <w:t>Ikke censureret for NPT</w:t>
            </w:r>
          </w:p>
        </w:tc>
        <w:tc>
          <w:tcPr>
            <w:tcW w:w="6955" w:type="dxa"/>
            <w:gridSpan w:val="5"/>
          </w:tcPr>
          <w:p w14:paraId="45939CEA" w14:textId="77777777" w:rsidR="003563EF" w:rsidRPr="001278B6" w:rsidRDefault="003563EF" w:rsidP="00051658">
            <w:pPr>
              <w:pStyle w:val="TableParagraph"/>
              <w:keepNext/>
              <w:keepLines/>
              <w:widowControl/>
              <w:adjustRightInd w:val="0"/>
              <w:snapToGrid w:val="0"/>
              <w:rPr>
                <w:snapToGrid w:val="0"/>
                <w:sz w:val="20"/>
                <w:lang w:val="da-DK"/>
              </w:rPr>
            </w:pPr>
          </w:p>
        </w:tc>
      </w:tr>
      <w:tr w:rsidR="003563EF" w:rsidRPr="005476B6" w14:paraId="2053EE29" w14:textId="77777777" w:rsidTr="001278B6">
        <w:trPr>
          <w:cantSplit/>
        </w:trPr>
        <w:tc>
          <w:tcPr>
            <w:tcW w:w="2333" w:type="dxa"/>
          </w:tcPr>
          <w:p w14:paraId="19541E22" w14:textId="77777777" w:rsidR="003563EF" w:rsidRPr="001278B6" w:rsidRDefault="00473235" w:rsidP="00051658">
            <w:pPr>
              <w:pStyle w:val="TableParagraph"/>
              <w:keepNext/>
              <w:keepLines/>
              <w:widowControl/>
              <w:adjustRightInd w:val="0"/>
              <w:snapToGrid w:val="0"/>
              <w:rPr>
                <w:snapToGrid w:val="0"/>
                <w:sz w:val="20"/>
                <w:lang w:val="da-DK"/>
              </w:rPr>
            </w:pPr>
            <w:r w:rsidRPr="001278B6">
              <w:rPr>
                <w:snapToGrid w:val="0"/>
                <w:sz w:val="20"/>
                <w:lang w:val="da-DK"/>
              </w:rPr>
              <w:t>Median PFS (måneder)</w:t>
            </w:r>
          </w:p>
        </w:tc>
        <w:tc>
          <w:tcPr>
            <w:tcW w:w="1683" w:type="dxa"/>
          </w:tcPr>
          <w:p w14:paraId="4B14C156"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8,4</w:t>
            </w:r>
          </w:p>
        </w:tc>
        <w:tc>
          <w:tcPr>
            <w:tcW w:w="1885" w:type="dxa"/>
          </w:tcPr>
          <w:p w14:paraId="7649E8EA"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12,4</w:t>
            </w:r>
          </w:p>
        </w:tc>
        <w:tc>
          <w:tcPr>
            <w:tcW w:w="1577" w:type="dxa"/>
            <w:gridSpan w:val="2"/>
          </w:tcPr>
          <w:p w14:paraId="0C794FB3"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8,6</w:t>
            </w:r>
          </w:p>
        </w:tc>
        <w:tc>
          <w:tcPr>
            <w:tcW w:w="1810" w:type="dxa"/>
          </w:tcPr>
          <w:p w14:paraId="24F32EB7"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12.3</w:t>
            </w:r>
          </w:p>
        </w:tc>
      </w:tr>
      <w:tr w:rsidR="003563EF" w:rsidRPr="005476B6" w14:paraId="4DEB4AE7" w14:textId="77777777" w:rsidTr="001278B6">
        <w:trPr>
          <w:cantSplit/>
        </w:trPr>
        <w:tc>
          <w:tcPr>
            <w:tcW w:w="2333" w:type="dxa"/>
          </w:tcPr>
          <w:p w14:paraId="4EE45FE7" w14:textId="77777777" w:rsidR="003563EF" w:rsidRPr="001278B6" w:rsidRDefault="00473235" w:rsidP="00051658">
            <w:pPr>
              <w:pStyle w:val="TableParagraph"/>
              <w:keepNext/>
              <w:keepLines/>
              <w:widowControl/>
              <w:adjustRightInd w:val="0"/>
              <w:snapToGrid w:val="0"/>
              <w:rPr>
                <w:snapToGrid w:val="0"/>
                <w:sz w:val="20"/>
                <w:lang w:val="da-DK"/>
              </w:rPr>
            </w:pPr>
            <w:r w:rsidRPr="00F466A3">
              <w:rPr>
                <w:iCs/>
                <w:snapToGrid w:val="0"/>
                <w:sz w:val="20"/>
                <w:lang w:val="da-DK"/>
              </w:rPr>
              <w:t xml:space="preserve">Hazard </w:t>
            </w:r>
            <w:r w:rsidRPr="001278B6">
              <w:rPr>
                <w:snapToGrid w:val="0"/>
                <w:sz w:val="20"/>
                <w:lang w:val="da-DK"/>
              </w:rPr>
              <w:t>ratio (95 %</w:t>
            </w:r>
            <w:r w:rsidR="003E13EC" w:rsidRPr="001278B6">
              <w:rPr>
                <w:snapToGrid w:val="0"/>
                <w:sz w:val="20"/>
                <w:lang w:val="da-DK"/>
              </w:rPr>
              <w:t xml:space="preserve"> </w:t>
            </w:r>
            <w:r w:rsidRPr="001278B6">
              <w:rPr>
                <w:snapToGrid w:val="0"/>
                <w:sz w:val="20"/>
                <w:lang w:val="da-DK"/>
              </w:rPr>
              <w:t>konfidensinterval)</w:t>
            </w:r>
          </w:p>
        </w:tc>
        <w:tc>
          <w:tcPr>
            <w:tcW w:w="3568" w:type="dxa"/>
            <w:gridSpan w:val="2"/>
          </w:tcPr>
          <w:p w14:paraId="2A4005EC"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0,524 [0,425; 0,645]</w:t>
            </w:r>
          </w:p>
        </w:tc>
        <w:tc>
          <w:tcPr>
            <w:tcW w:w="3387" w:type="dxa"/>
            <w:gridSpan w:val="3"/>
          </w:tcPr>
          <w:p w14:paraId="753002E0" w14:textId="77777777" w:rsidR="003563EF" w:rsidRPr="001278B6" w:rsidRDefault="00473235" w:rsidP="00051658">
            <w:pPr>
              <w:pStyle w:val="TableParagraph"/>
              <w:keepNext/>
              <w:keepLines/>
              <w:widowControl/>
              <w:adjustRightInd w:val="0"/>
              <w:snapToGrid w:val="0"/>
              <w:jc w:val="center"/>
              <w:rPr>
                <w:snapToGrid w:val="0"/>
                <w:sz w:val="20"/>
                <w:lang w:val="da-DK"/>
              </w:rPr>
            </w:pPr>
            <w:r w:rsidRPr="001278B6">
              <w:rPr>
                <w:snapToGrid w:val="0"/>
                <w:sz w:val="20"/>
                <w:lang w:val="da-DK"/>
              </w:rPr>
              <w:t>0,480 [0,377; 0,613]</w:t>
            </w:r>
          </w:p>
        </w:tc>
      </w:tr>
      <w:tr w:rsidR="003563EF" w:rsidRPr="005476B6" w14:paraId="50469C9C" w14:textId="77777777" w:rsidTr="001278B6">
        <w:trPr>
          <w:cantSplit/>
        </w:trPr>
        <w:tc>
          <w:tcPr>
            <w:tcW w:w="2333" w:type="dxa"/>
          </w:tcPr>
          <w:p w14:paraId="56A55FC0"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3568" w:type="dxa"/>
            <w:gridSpan w:val="2"/>
          </w:tcPr>
          <w:p w14:paraId="21572EC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c>
          <w:tcPr>
            <w:tcW w:w="3387" w:type="dxa"/>
            <w:gridSpan w:val="3"/>
          </w:tcPr>
          <w:p w14:paraId="28AB577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r>
      <w:tr w:rsidR="003563EF" w:rsidRPr="005476B6" w14:paraId="2B2C788D" w14:textId="77777777" w:rsidTr="001278B6">
        <w:trPr>
          <w:cantSplit/>
        </w:trPr>
        <w:tc>
          <w:tcPr>
            <w:tcW w:w="2333" w:type="dxa"/>
          </w:tcPr>
          <w:p w14:paraId="3FF2F19A" w14:textId="77777777" w:rsidR="003563EF" w:rsidRPr="001278B6" w:rsidRDefault="00473235" w:rsidP="001278B6">
            <w:pPr>
              <w:pStyle w:val="TableParagraph"/>
              <w:widowControl/>
              <w:adjustRightInd w:val="0"/>
              <w:snapToGrid w:val="0"/>
              <w:rPr>
                <w:i/>
                <w:snapToGrid w:val="0"/>
                <w:sz w:val="20"/>
                <w:lang w:val="da-DK"/>
              </w:rPr>
            </w:pPr>
            <w:r w:rsidRPr="001278B6">
              <w:rPr>
                <w:i/>
                <w:snapToGrid w:val="0"/>
                <w:sz w:val="20"/>
                <w:lang w:val="da-DK"/>
              </w:rPr>
              <w:t>Censureret for NPT</w:t>
            </w:r>
          </w:p>
        </w:tc>
        <w:tc>
          <w:tcPr>
            <w:tcW w:w="6955" w:type="dxa"/>
            <w:gridSpan w:val="5"/>
          </w:tcPr>
          <w:p w14:paraId="662B6E1F"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2E8C1EE4" w14:textId="77777777" w:rsidTr="001278B6">
        <w:trPr>
          <w:cantSplit/>
        </w:trPr>
        <w:tc>
          <w:tcPr>
            <w:tcW w:w="2333" w:type="dxa"/>
          </w:tcPr>
          <w:p w14:paraId="6419722B"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PFS (måneder)</w:t>
            </w:r>
          </w:p>
        </w:tc>
        <w:tc>
          <w:tcPr>
            <w:tcW w:w="1683" w:type="dxa"/>
          </w:tcPr>
          <w:p w14:paraId="3F3DB74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8,4</w:t>
            </w:r>
          </w:p>
        </w:tc>
        <w:tc>
          <w:tcPr>
            <w:tcW w:w="1885" w:type="dxa"/>
          </w:tcPr>
          <w:p w14:paraId="3DAC3E7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12,4</w:t>
            </w:r>
          </w:p>
        </w:tc>
        <w:tc>
          <w:tcPr>
            <w:tcW w:w="1577" w:type="dxa"/>
            <w:gridSpan w:val="2"/>
          </w:tcPr>
          <w:p w14:paraId="13E411E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8,6</w:t>
            </w:r>
          </w:p>
        </w:tc>
        <w:tc>
          <w:tcPr>
            <w:tcW w:w="1810" w:type="dxa"/>
          </w:tcPr>
          <w:p w14:paraId="2F8F7BC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12,3</w:t>
            </w:r>
          </w:p>
        </w:tc>
      </w:tr>
      <w:tr w:rsidR="003563EF" w:rsidRPr="005476B6" w14:paraId="6DB0FEC8" w14:textId="77777777" w:rsidTr="001278B6">
        <w:trPr>
          <w:cantSplit/>
        </w:trPr>
        <w:tc>
          <w:tcPr>
            <w:tcW w:w="2333" w:type="dxa"/>
          </w:tcPr>
          <w:p w14:paraId="5089E100"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1278B6">
              <w:rPr>
                <w:snapToGrid w:val="0"/>
                <w:sz w:val="20"/>
                <w:lang w:val="da-DK"/>
              </w:rPr>
              <w:t>ratio (95 %</w:t>
            </w:r>
            <w:r w:rsidR="00BD7BD4">
              <w:rPr>
                <w:snapToGrid w:val="0"/>
                <w:sz w:val="20"/>
                <w:lang w:val="da-DK"/>
              </w:rPr>
              <w:t xml:space="preserve"> </w:t>
            </w:r>
            <w:r w:rsidRPr="001278B6">
              <w:rPr>
                <w:snapToGrid w:val="0"/>
                <w:sz w:val="20"/>
                <w:lang w:val="da-DK"/>
              </w:rPr>
              <w:t>konfidensinterval)</w:t>
            </w:r>
          </w:p>
        </w:tc>
        <w:tc>
          <w:tcPr>
            <w:tcW w:w="3568" w:type="dxa"/>
            <w:gridSpan w:val="2"/>
          </w:tcPr>
          <w:p w14:paraId="5489A47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0,484 [0,388; 0,605]</w:t>
            </w:r>
          </w:p>
        </w:tc>
        <w:tc>
          <w:tcPr>
            <w:tcW w:w="3387" w:type="dxa"/>
            <w:gridSpan w:val="3"/>
          </w:tcPr>
          <w:p w14:paraId="3F77B03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0,451 [0,351; 0,580]</w:t>
            </w:r>
          </w:p>
        </w:tc>
      </w:tr>
      <w:tr w:rsidR="003563EF" w:rsidRPr="005476B6" w14:paraId="46D1E322" w14:textId="77777777" w:rsidTr="001278B6">
        <w:trPr>
          <w:cantSplit/>
        </w:trPr>
        <w:tc>
          <w:tcPr>
            <w:tcW w:w="2333" w:type="dxa"/>
          </w:tcPr>
          <w:p w14:paraId="3A2B2AB4"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3568" w:type="dxa"/>
            <w:gridSpan w:val="2"/>
          </w:tcPr>
          <w:p w14:paraId="2512128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c>
          <w:tcPr>
            <w:tcW w:w="3387" w:type="dxa"/>
            <w:gridSpan w:val="3"/>
          </w:tcPr>
          <w:p w14:paraId="415DCEC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r>
      <w:tr w:rsidR="003563EF" w:rsidRPr="005476B6" w14:paraId="08E41796" w14:textId="77777777" w:rsidTr="001278B6">
        <w:trPr>
          <w:cantSplit/>
        </w:trPr>
        <w:tc>
          <w:tcPr>
            <w:tcW w:w="9288" w:type="dxa"/>
            <w:gridSpan w:val="6"/>
          </w:tcPr>
          <w:p w14:paraId="7D037673" w14:textId="77777777" w:rsidR="003563EF" w:rsidRPr="001278B6" w:rsidRDefault="00473235" w:rsidP="001278B6">
            <w:pPr>
              <w:pStyle w:val="TableParagraph"/>
              <w:widowControl/>
              <w:adjustRightInd w:val="0"/>
              <w:snapToGrid w:val="0"/>
              <w:rPr>
                <w:b/>
                <w:bCs/>
                <w:snapToGrid w:val="0"/>
                <w:sz w:val="20"/>
                <w:lang w:val="da-DK"/>
              </w:rPr>
            </w:pPr>
            <w:r w:rsidRPr="001278B6">
              <w:rPr>
                <w:b/>
                <w:bCs/>
                <w:snapToGrid w:val="0"/>
                <w:sz w:val="20"/>
                <w:lang w:val="da-DK"/>
              </w:rPr>
              <w:t>Objektiv responsrate</w:t>
            </w:r>
          </w:p>
        </w:tc>
      </w:tr>
      <w:tr w:rsidR="003563EF" w:rsidRPr="005476B6" w14:paraId="1D12E603" w14:textId="77777777" w:rsidTr="001278B6">
        <w:trPr>
          <w:cantSplit/>
        </w:trPr>
        <w:tc>
          <w:tcPr>
            <w:tcW w:w="2333" w:type="dxa"/>
          </w:tcPr>
          <w:p w14:paraId="31698812" w14:textId="77777777" w:rsidR="003563EF" w:rsidRPr="001278B6" w:rsidRDefault="003563EF" w:rsidP="001278B6">
            <w:pPr>
              <w:pStyle w:val="TableParagraph"/>
              <w:widowControl/>
              <w:adjustRightInd w:val="0"/>
              <w:snapToGrid w:val="0"/>
              <w:rPr>
                <w:snapToGrid w:val="0"/>
                <w:sz w:val="20"/>
                <w:lang w:val="da-DK"/>
              </w:rPr>
            </w:pPr>
          </w:p>
        </w:tc>
        <w:tc>
          <w:tcPr>
            <w:tcW w:w="3568" w:type="dxa"/>
            <w:gridSpan w:val="2"/>
          </w:tcPr>
          <w:p w14:paraId="3895E55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Investigators vurdering</w:t>
            </w:r>
          </w:p>
        </w:tc>
        <w:tc>
          <w:tcPr>
            <w:tcW w:w="3387" w:type="dxa"/>
            <w:gridSpan w:val="3"/>
          </w:tcPr>
          <w:p w14:paraId="698B38E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u w:val="single"/>
                <w:lang w:val="da-DK"/>
              </w:rPr>
              <w:t>Uafhængig vurdering</w:t>
            </w:r>
          </w:p>
        </w:tc>
      </w:tr>
      <w:tr w:rsidR="003563EF" w:rsidRPr="005476B6" w14:paraId="3E714414" w14:textId="77777777" w:rsidTr="001278B6">
        <w:trPr>
          <w:cantSplit/>
        </w:trPr>
        <w:tc>
          <w:tcPr>
            <w:tcW w:w="2333" w:type="dxa"/>
          </w:tcPr>
          <w:p w14:paraId="790ED0BC" w14:textId="77777777" w:rsidR="003563EF" w:rsidRPr="001278B6" w:rsidRDefault="003563EF" w:rsidP="001278B6">
            <w:pPr>
              <w:pStyle w:val="TableParagraph"/>
              <w:widowControl/>
              <w:adjustRightInd w:val="0"/>
              <w:snapToGrid w:val="0"/>
              <w:rPr>
                <w:snapToGrid w:val="0"/>
                <w:sz w:val="20"/>
                <w:lang w:val="da-DK"/>
              </w:rPr>
            </w:pPr>
          </w:p>
        </w:tc>
        <w:tc>
          <w:tcPr>
            <w:tcW w:w="1683" w:type="dxa"/>
          </w:tcPr>
          <w:p w14:paraId="486ABFB9" w14:textId="77777777" w:rsidR="006F3AAA" w:rsidRDefault="00473235">
            <w:pPr>
              <w:pStyle w:val="TableParagraph"/>
              <w:widowControl/>
              <w:adjustRightInd w:val="0"/>
              <w:snapToGrid w:val="0"/>
              <w:jc w:val="center"/>
              <w:rPr>
                <w:snapToGrid w:val="0"/>
                <w:sz w:val="20"/>
                <w:lang w:val="da-DK"/>
              </w:rPr>
            </w:pPr>
            <w:r w:rsidRPr="001278B6">
              <w:rPr>
                <w:snapToGrid w:val="0"/>
                <w:sz w:val="20"/>
                <w:lang w:val="da-DK"/>
              </w:rPr>
              <w:t xml:space="preserve">Placebo+ C/G </w:t>
            </w:r>
          </w:p>
          <w:p w14:paraId="4249E6C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c>
          <w:tcPr>
            <w:tcW w:w="1885" w:type="dxa"/>
          </w:tcPr>
          <w:p w14:paraId="2826966A" w14:textId="77777777" w:rsidR="006F3AAA" w:rsidRDefault="00C805DA">
            <w:pPr>
              <w:pStyle w:val="TableParagraph"/>
              <w:widowControl/>
              <w:adjustRightInd w:val="0"/>
              <w:snapToGrid w:val="0"/>
              <w:jc w:val="center"/>
              <w:rPr>
                <w:snapToGrid w:val="0"/>
                <w:sz w:val="20"/>
                <w:lang w:val="da-DK"/>
              </w:rPr>
            </w:pPr>
            <w:r>
              <w:rPr>
                <w:snapToGrid w:val="0"/>
                <w:lang w:val="da-DK"/>
              </w:rPr>
              <w:t>Bevacizumab</w:t>
            </w:r>
            <w:r w:rsidR="00473235" w:rsidRPr="001278B6">
              <w:rPr>
                <w:snapToGrid w:val="0"/>
                <w:sz w:val="20"/>
                <w:lang w:val="da-DK"/>
              </w:rPr>
              <w:t xml:space="preserve"> + C/G </w:t>
            </w:r>
          </w:p>
          <w:p w14:paraId="6B65369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c>
          <w:tcPr>
            <w:tcW w:w="1577" w:type="dxa"/>
            <w:gridSpan w:val="2"/>
          </w:tcPr>
          <w:p w14:paraId="24EC8079" w14:textId="77777777" w:rsidR="006F3AAA" w:rsidRDefault="00473235">
            <w:pPr>
              <w:pStyle w:val="TableParagraph"/>
              <w:widowControl/>
              <w:adjustRightInd w:val="0"/>
              <w:snapToGrid w:val="0"/>
              <w:jc w:val="center"/>
              <w:rPr>
                <w:snapToGrid w:val="0"/>
                <w:sz w:val="20"/>
                <w:lang w:val="da-DK"/>
              </w:rPr>
            </w:pPr>
            <w:r w:rsidRPr="001278B6">
              <w:rPr>
                <w:snapToGrid w:val="0"/>
                <w:sz w:val="20"/>
                <w:lang w:val="da-DK"/>
              </w:rPr>
              <w:t xml:space="preserve">Placebo+ C/G </w:t>
            </w:r>
          </w:p>
          <w:p w14:paraId="2009633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c>
          <w:tcPr>
            <w:tcW w:w="1810" w:type="dxa"/>
          </w:tcPr>
          <w:p w14:paraId="23303D34" w14:textId="77777777" w:rsidR="006F3AAA" w:rsidRDefault="00C805DA">
            <w:pPr>
              <w:pStyle w:val="TableParagraph"/>
              <w:widowControl/>
              <w:adjustRightInd w:val="0"/>
              <w:snapToGrid w:val="0"/>
              <w:jc w:val="center"/>
              <w:rPr>
                <w:snapToGrid w:val="0"/>
                <w:sz w:val="20"/>
                <w:lang w:val="da-DK"/>
              </w:rPr>
            </w:pPr>
            <w:r>
              <w:rPr>
                <w:snapToGrid w:val="0"/>
                <w:lang w:val="da-DK"/>
              </w:rPr>
              <w:t>Bevacizumab</w:t>
            </w:r>
            <w:r w:rsidR="00473235" w:rsidRPr="001278B6">
              <w:rPr>
                <w:snapToGrid w:val="0"/>
                <w:sz w:val="20"/>
                <w:lang w:val="da-DK"/>
              </w:rPr>
              <w:t xml:space="preserve"> + C/G </w:t>
            </w:r>
          </w:p>
          <w:p w14:paraId="0CA8AFE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r>
      <w:tr w:rsidR="003563EF" w:rsidRPr="005476B6" w14:paraId="1966EB5A" w14:textId="77777777" w:rsidTr="001278B6">
        <w:trPr>
          <w:cantSplit/>
        </w:trPr>
        <w:tc>
          <w:tcPr>
            <w:tcW w:w="2333" w:type="dxa"/>
          </w:tcPr>
          <w:p w14:paraId="1A4D8337"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patienter med</w:t>
            </w:r>
            <w:r w:rsidR="00BD7BD4">
              <w:rPr>
                <w:snapToGrid w:val="0"/>
                <w:sz w:val="20"/>
                <w:lang w:val="da-DK"/>
              </w:rPr>
              <w:t xml:space="preserve"> </w:t>
            </w:r>
            <w:r w:rsidRPr="001278B6">
              <w:rPr>
                <w:snapToGrid w:val="0"/>
                <w:sz w:val="20"/>
                <w:lang w:val="da-DK"/>
              </w:rPr>
              <w:t>objektivt respons</w:t>
            </w:r>
          </w:p>
        </w:tc>
        <w:tc>
          <w:tcPr>
            <w:tcW w:w="1683" w:type="dxa"/>
          </w:tcPr>
          <w:p w14:paraId="2AAFA78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57,4 %</w:t>
            </w:r>
          </w:p>
        </w:tc>
        <w:tc>
          <w:tcPr>
            <w:tcW w:w="1885" w:type="dxa"/>
          </w:tcPr>
          <w:p w14:paraId="2FBBAC8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78,5 %</w:t>
            </w:r>
          </w:p>
        </w:tc>
        <w:tc>
          <w:tcPr>
            <w:tcW w:w="1577" w:type="dxa"/>
            <w:gridSpan w:val="2"/>
          </w:tcPr>
          <w:p w14:paraId="4DD5BA5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53,7 %</w:t>
            </w:r>
          </w:p>
        </w:tc>
        <w:tc>
          <w:tcPr>
            <w:tcW w:w="1810" w:type="dxa"/>
          </w:tcPr>
          <w:p w14:paraId="1B5B520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74,8 %</w:t>
            </w:r>
          </w:p>
        </w:tc>
      </w:tr>
      <w:tr w:rsidR="003563EF" w:rsidRPr="005476B6" w14:paraId="7BD7D41A" w14:textId="77777777" w:rsidTr="001278B6">
        <w:trPr>
          <w:cantSplit/>
        </w:trPr>
        <w:tc>
          <w:tcPr>
            <w:tcW w:w="2333" w:type="dxa"/>
          </w:tcPr>
          <w:p w14:paraId="1C5FAB7F"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value</w:t>
            </w:r>
          </w:p>
        </w:tc>
        <w:tc>
          <w:tcPr>
            <w:tcW w:w="3568" w:type="dxa"/>
            <w:gridSpan w:val="2"/>
          </w:tcPr>
          <w:p w14:paraId="1D42EBC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c>
          <w:tcPr>
            <w:tcW w:w="3387" w:type="dxa"/>
            <w:gridSpan w:val="3"/>
          </w:tcPr>
          <w:p w14:paraId="2B5BCD1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r>
      <w:tr w:rsidR="003563EF" w:rsidRPr="005476B6" w14:paraId="31DE9B73" w14:textId="77777777" w:rsidTr="001278B6">
        <w:trPr>
          <w:cantSplit/>
        </w:trPr>
        <w:tc>
          <w:tcPr>
            <w:tcW w:w="9288" w:type="dxa"/>
            <w:gridSpan w:val="6"/>
          </w:tcPr>
          <w:p w14:paraId="21F0E71A" w14:textId="77777777" w:rsidR="003563EF" w:rsidRPr="00D0579E" w:rsidRDefault="00473235" w:rsidP="001278B6">
            <w:pPr>
              <w:pStyle w:val="TableParagraph"/>
              <w:widowControl/>
              <w:adjustRightInd w:val="0"/>
              <w:snapToGrid w:val="0"/>
              <w:rPr>
                <w:b/>
                <w:bCs/>
                <w:snapToGrid w:val="0"/>
                <w:sz w:val="20"/>
                <w:lang w:val="da-DK"/>
              </w:rPr>
            </w:pPr>
            <w:r w:rsidRPr="00D0579E">
              <w:rPr>
                <w:b/>
                <w:bCs/>
                <w:snapToGrid w:val="0"/>
                <w:sz w:val="20"/>
                <w:lang w:val="da-DK"/>
              </w:rPr>
              <w:t>Samlet overlevelse</w:t>
            </w:r>
          </w:p>
        </w:tc>
      </w:tr>
      <w:tr w:rsidR="003563EF" w:rsidRPr="005476B6" w14:paraId="66D03AA9" w14:textId="77777777" w:rsidTr="001278B6">
        <w:trPr>
          <w:cantSplit/>
        </w:trPr>
        <w:tc>
          <w:tcPr>
            <w:tcW w:w="2333" w:type="dxa"/>
          </w:tcPr>
          <w:p w14:paraId="43FE5DCC" w14:textId="77777777" w:rsidR="003563EF" w:rsidRPr="001278B6" w:rsidRDefault="003563EF" w:rsidP="001278B6">
            <w:pPr>
              <w:pStyle w:val="TableParagraph"/>
              <w:widowControl/>
              <w:adjustRightInd w:val="0"/>
              <w:snapToGrid w:val="0"/>
              <w:rPr>
                <w:snapToGrid w:val="0"/>
                <w:sz w:val="20"/>
                <w:lang w:val="da-DK"/>
              </w:rPr>
            </w:pPr>
          </w:p>
        </w:tc>
        <w:tc>
          <w:tcPr>
            <w:tcW w:w="3929" w:type="dxa"/>
            <w:gridSpan w:val="3"/>
          </w:tcPr>
          <w:p w14:paraId="10613ED8" w14:textId="77777777" w:rsidR="005C675A" w:rsidRDefault="00473235">
            <w:pPr>
              <w:pStyle w:val="TableParagraph"/>
              <w:widowControl/>
              <w:adjustRightInd w:val="0"/>
              <w:snapToGrid w:val="0"/>
              <w:jc w:val="center"/>
              <w:rPr>
                <w:snapToGrid w:val="0"/>
                <w:sz w:val="20"/>
                <w:lang w:val="da-DK"/>
              </w:rPr>
            </w:pPr>
            <w:r w:rsidRPr="001278B6">
              <w:rPr>
                <w:snapToGrid w:val="0"/>
                <w:sz w:val="20"/>
                <w:lang w:val="da-DK"/>
              </w:rPr>
              <w:t xml:space="preserve">Placebo+ C/G </w:t>
            </w:r>
          </w:p>
          <w:p w14:paraId="7DB48EE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c>
          <w:tcPr>
            <w:tcW w:w="3026" w:type="dxa"/>
            <w:gridSpan w:val="2"/>
          </w:tcPr>
          <w:p w14:paraId="12DA203D" w14:textId="379EE185" w:rsidR="005C675A" w:rsidRDefault="00FE7FC1">
            <w:pPr>
              <w:pStyle w:val="TableParagraph"/>
              <w:widowControl/>
              <w:adjustRightInd w:val="0"/>
              <w:snapToGrid w:val="0"/>
              <w:jc w:val="center"/>
              <w:rPr>
                <w:snapToGrid w:val="0"/>
                <w:sz w:val="20"/>
                <w:lang w:val="da-DK"/>
              </w:rPr>
            </w:pPr>
            <w:r w:rsidRPr="00FE7FC1">
              <w:rPr>
                <w:snapToGrid w:val="0"/>
                <w:sz w:val="20"/>
                <w:lang w:val="da-DK"/>
              </w:rPr>
              <w:t>Bevacizumab</w:t>
            </w:r>
            <w:r w:rsidR="00473235" w:rsidRPr="001278B6">
              <w:rPr>
                <w:snapToGrid w:val="0"/>
                <w:sz w:val="20"/>
                <w:lang w:val="da-DK"/>
              </w:rPr>
              <w:t xml:space="preserve"> + C/G </w:t>
            </w:r>
          </w:p>
          <w:p w14:paraId="5513772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r>
      <w:tr w:rsidR="003563EF" w:rsidRPr="005476B6" w14:paraId="6DA1D977" w14:textId="77777777" w:rsidTr="001278B6">
        <w:trPr>
          <w:cantSplit/>
        </w:trPr>
        <w:tc>
          <w:tcPr>
            <w:tcW w:w="2333" w:type="dxa"/>
          </w:tcPr>
          <w:p w14:paraId="5D675782" w14:textId="3685E4C1"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 xml:space="preserve">Median </w:t>
            </w:r>
            <w:r w:rsidR="00D0579E">
              <w:rPr>
                <w:snapToGrid w:val="0"/>
                <w:sz w:val="20"/>
                <w:lang w:val="da-DK"/>
              </w:rPr>
              <w:t>OS</w:t>
            </w:r>
            <w:r w:rsidRPr="001278B6">
              <w:rPr>
                <w:snapToGrid w:val="0"/>
                <w:sz w:val="20"/>
                <w:lang w:val="da-DK"/>
              </w:rPr>
              <w:t xml:space="preserve"> (måneder)</w:t>
            </w:r>
          </w:p>
        </w:tc>
        <w:tc>
          <w:tcPr>
            <w:tcW w:w="3929" w:type="dxa"/>
            <w:gridSpan w:val="3"/>
          </w:tcPr>
          <w:p w14:paraId="6095089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32,9</w:t>
            </w:r>
          </w:p>
        </w:tc>
        <w:tc>
          <w:tcPr>
            <w:tcW w:w="3026" w:type="dxa"/>
            <w:gridSpan w:val="2"/>
          </w:tcPr>
          <w:p w14:paraId="5076838F"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33,6</w:t>
            </w:r>
          </w:p>
        </w:tc>
      </w:tr>
      <w:tr w:rsidR="003563EF" w:rsidRPr="005476B6" w14:paraId="1EBB0719" w14:textId="77777777" w:rsidTr="001278B6">
        <w:trPr>
          <w:cantSplit/>
        </w:trPr>
        <w:tc>
          <w:tcPr>
            <w:tcW w:w="2333" w:type="dxa"/>
          </w:tcPr>
          <w:p w14:paraId="7520A63C"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w:t>
            </w:r>
            <w:r w:rsidR="003E13EC" w:rsidRPr="001278B6">
              <w:rPr>
                <w:snapToGrid w:val="0"/>
                <w:sz w:val="20"/>
                <w:lang w:val="da-DK"/>
              </w:rPr>
              <w:t xml:space="preserve"> </w:t>
            </w:r>
            <w:r w:rsidRPr="001278B6">
              <w:rPr>
                <w:snapToGrid w:val="0"/>
                <w:sz w:val="20"/>
                <w:lang w:val="da-DK"/>
              </w:rPr>
              <w:t>konfidensinterval)</w:t>
            </w:r>
          </w:p>
        </w:tc>
        <w:tc>
          <w:tcPr>
            <w:tcW w:w="6955" w:type="dxa"/>
            <w:gridSpan w:val="5"/>
          </w:tcPr>
          <w:p w14:paraId="00963D5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0,952 [0,771; 1,176]</w:t>
            </w:r>
          </w:p>
        </w:tc>
      </w:tr>
      <w:tr w:rsidR="003563EF" w:rsidRPr="005476B6" w14:paraId="057D02BB" w14:textId="77777777" w:rsidTr="001278B6">
        <w:trPr>
          <w:cantSplit/>
        </w:trPr>
        <w:tc>
          <w:tcPr>
            <w:tcW w:w="2333" w:type="dxa"/>
          </w:tcPr>
          <w:p w14:paraId="080C062E"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6955" w:type="dxa"/>
            <w:gridSpan w:val="5"/>
          </w:tcPr>
          <w:p w14:paraId="5055C54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0,6479</w:t>
            </w:r>
          </w:p>
        </w:tc>
      </w:tr>
    </w:tbl>
    <w:p w14:paraId="27DE6CE4" w14:textId="77777777" w:rsidR="003563EF" w:rsidRPr="001278B6" w:rsidRDefault="003563EF" w:rsidP="001278B6">
      <w:pPr>
        <w:pStyle w:val="a3"/>
        <w:widowControl/>
        <w:adjustRightInd w:val="0"/>
        <w:snapToGrid w:val="0"/>
        <w:rPr>
          <w:b/>
          <w:snapToGrid w:val="0"/>
          <w:lang w:val="da-DK"/>
        </w:rPr>
      </w:pPr>
    </w:p>
    <w:p w14:paraId="1B044012" w14:textId="77777777" w:rsidR="003563EF" w:rsidRPr="001278B6" w:rsidRDefault="00473235" w:rsidP="001278B6">
      <w:pPr>
        <w:pStyle w:val="a3"/>
        <w:widowControl/>
        <w:adjustRightInd w:val="0"/>
        <w:snapToGrid w:val="0"/>
        <w:rPr>
          <w:snapToGrid w:val="0"/>
          <w:lang w:val="da-DK"/>
        </w:rPr>
      </w:pPr>
      <w:r w:rsidRPr="001278B6">
        <w:rPr>
          <w:snapToGrid w:val="0"/>
          <w:lang w:val="da-DK"/>
        </w:rPr>
        <w:t>PFS undergruppeanalyser, som er afhængige af tiden til recidiv siden den sidste platinbehandling, er opsummeret i tabel 21.</w:t>
      </w:r>
    </w:p>
    <w:p w14:paraId="544B4302" w14:textId="77777777" w:rsidR="00AD71D9" w:rsidRDefault="00AD71D9" w:rsidP="00747393">
      <w:pPr>
        <w:rPr>
          <w:snapToGrid w:val="0"/>
          <w:lang w:val="da-DK"/>
        </w:rPr>
      </w:pPr>
    </w:p>
    <w:p w14:paraId="66569551" w14:textId="77777777" w:rsidR="003563EF" w:rsidRPr="00E85219" w:rsidRDefault="00473235" w:rsidP="00E85219">
      <w:pPr>
        <w:ind w:left="1134" w:hanging="1134"/>
        <w:rPr>
          <w:b/>
          <w:bCs/>
          <w:snapToGrid w:val="0"/>
          <w:lang w:val="da-DK"/>
        </w:rPr>
      </w:pPr>
      <w:r w:rsidRPr="00E85219">
        <w:rPr>
          <w:b/>
          <w:bCs/>
          <w:snapToGrid w:val="0"/>
          <w:lang w:val="da-DK"/>
        </w:rPr>
        <w:t>Tabel 21.</w:t>
      </w:r>
      <w:r w:rsidRPr="00E85219">
        <w:rPr>
          <w:b/>
          <w:bCs/>
          <w:snapToGrid w:val="0"/>
          <w:lang w:val="da-DK"/>
        </w:rPr>
        <w:tab/>
        <w:t>Progressionsfri overlevelse efter tid fra sidste platinbehandling indtil recidiv.</w:t>
      </w:r>
    </w:p>
    <w:p w14:paraId="22AB2C5A"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2"/>
      </w:tblGrid>
      <w:tr w:rsidR="003563EF" w:rsidRPr="005476B6" w14:paraId="4140D90C" w14:textId="77777777" w:rsidTr="001278B6">
        <w:trPr>
          <w:cantSplit/>
        </w:trPr>
        <w:tc>
          <w:tcPr>
            <w:tcW w:w="3094" w:type="dxa"/>
          </w:tcPr>
          <w:p w14:paraId="1BD15010" w14:textId="77777777" w:rsidR="003563EF" w:rsidRPr="001278B6" w:rsidRDefault="003563EF" w:rsidP="001278B6">
            <w:pPr>
              <w:pStyle w:val="TableParagraph"/>
              <w:keepNext/>
              <w:keepLines/>
              <w:widowControl/>
              <w:adjustRightInd w:val="0"/>
              <w:snapToGrid w:val="0"/>
              <w:rPr>
                <w:snapToGrid w:val="0"/>
                <w:sz w:val="20"/>
                <w:lang w:val="da-DK"/>
              </w:rPr>
            </w:pPr>
          </w:p>
        </w:tc>
        <w:tc>
          <w:tcPr>
            <w:tcW w:w="6188" w:type="dxa"/>
            <w:gridSpan w:val="2"/>
          </w:tcPr>
          <w:p w14:paraId="47F947B5" w14:textId="77777777" w:rsidR="003563EF" w:rsidRPr="001278B6" w:rsidRDefault="00473235" w:rsidP="001278B6">
            <w:pPr>
              <w:pStyle w:val="TableParagraph"/>
              <w:keepNext/>
              <w:keepLines/>
              <w:widowControl/>
              <w:adjustRightInd w:val="0"/>
              <w:snapToGrid w:val="0"/>
              <w:jc w:val="center"/>
              <w:rPr>
                <w:b/>
                <w:bCs/>
                <w:snapToGrid w:val="0"/>
                <w:sz w:val="20"/>
                <w:lang w:val="da-DK"/>
              </w:rPr>
            </w:pPr>
            <w:r w:rsidRPr="001278B6">
              <w:rPr>
                <w:b/>
                <w:bCs/>
                <w:snapToGrid w:val="0"/>
                <w:sz w:val="20"/>
                <w:lang w:val="da-DK"/>
              </w:rPr>
              <w:t>Investigators vurdering</w:t>
            </w:r>
          </w:p>
        </w:tc>
      </w:tr>
      <w:tr w:rsidR="003563EF" w:rsidRPr="005476B6" w14:paraId="359345AA" w14:textId="77777777" w:rsidTr="001278B6">
        <w:trPr>
          <w:cantSplit/>
        </w:trPr>
        <w:tc>
          <w:tcPr>
            <w:tcW w:w="3094" w:type="dxa"/>
          </w:tcPr>
          <w:p w14:paraId="6FD38995"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Tid fra sidste platinbehandling indtil recidiv</w:t>
            </w:r>
          </w:p>
        </w:tc>
        <w:tc>
          <w:tcPr>
            <w:tcW w:w="3094" w:type="dxa"/>
          </w:tcPr>
          <w:p w14:paraId="21520C5F" w14:textId="77777777" w:rsidR="00353810" w:rsidRDefault="00473235">
            <w:pPr>
              <w:pStyle w:val="TableParagraph"/>
              <w:widowControl/>
              <w:adjustRightInd w:val="0"/>
              <w:snapToGrid w:val="0"/>
              <w:jc w:val="center"/>
              <w:rPr>
                <w:snapToGrid w:val="0"/>
                <w:sz w:val="20"/>
                <w:lang w:val="da-DK"/>
              </w:rPr>
            </w:pPr>
            <w:r w:rsidRPr="001278B6">
              <w:rPr>
                <w:snapToGrid w:val="0"/>
                <w:sz w:val="20"/>
                <w:lang w:val="da-DK"/>
              </w:rPr>
              <w:t xml:space="preserve">Placebo + C/G </w:t>
            </w:r>
          </w:p>
          <w:p w14:paraId="63B15A1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c>
          <w:tcPr>
            <w:tcW w:w="3094" w:type="dxa"/>
          </w:tcPr>
          <w:p w14:paraId="25D96245" w14:textId="77777777" w:rsidR="00353810" w:rsidRDefault="00522B87">
            <w:pPr>
              <w:pStyle w:val="TableParagraph"/>
              <w:widowControl/>
              <w:adjustRightInd w:val="0"/>
              <w:snapToGrid w:val="0"/>
              <w:jc w:val="center"/>
              <w:rPr>
                <w:snapToGrid w:val="0"/>
                <w:sz w:val="20"/>
                <w:lang w:val="da-DK"/>
              </w:rPr>
            </w:pPr>
            <w:r>
              <w:rPr>
                <w:snapToGrid w:val="0"/>
                <w:lang w:val="da-DK"/>
              </w:rPr>
              <w:t>Bevacizumab</w:t>
            </w:r>
            <w:r w:rsidR="00473235" w:rsidRPr="001278B6">
              <w:rPr>
                <w:snapToGrid w:val="0"/>
                <w:sz w:val="20"/>
                <w:lang w:val="da-DK"/>
              </w:rPr>
              <w:t xml:space="preserve"> + C/G </w:t>
            </w:r>
          </w:p>
          <w:p w14:paraId="1F9BC2F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 = 242)</w:t>
            </w:r>
          </w:p>
        </w:tc>
      </w:tr>
      <w:tr w:rsidR="003563EF" w:rsidRPr="005476B6" w14:paraId="60F73971" w14:textId="77777777" w:rsidTr="001278B6">
        <w:trPr>
          <w:cantSplit/>
        </w:trPr>
        <w:tc>
          <w:tcPr>
            <w:tcW w:w="3094" w:type="dxa"/>
          </w:tcPr>
          <w:p w14:paraId="6DE44C9E"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 xml:space="preserve">6 </w:t>
            </w:r>
            <w:r w:rsidR="004B3750">
              <w:rPr>
                <w:b/>
                <w:snapToGrid w:val="0"/>
                <w:sz w:val="20"/>
                <w:lang w:val="da-DK"/>
              </w:rPr>
              <w:noBreakHyphen/>
            </w:r>
            <w:r w:rsidRPr="001278B6">
              <w:rPr>
                <w:b/>
                <w:snapToGrid w:val="0"/>
                <w:sz w:val="20"/>
                <w:lang w:val="da-DK"/>
              </w:rPr>
              <w:t xml:space="preserve"> 12 måneder (n=202)</w:t>
            </w:r>
          </w:p>
        </w:tc>
        <w:tc>
          <w:tcPr>
            <w:tcW w:w="3094" w:type="dxa"/>
          </w:tcPr>
          <w:p w14:paraId="6A5C3CA3" w14:textId="77777777" w:rsidR="003563EF" w:rsidRPr="001278B6" w:rsidRDefault="003563EF" w:rsidP="001278B6">
            <w:pPr>
              <w:pStyle w:val="TableParagraph"/>
              <w:widowControl/>
              <w:adjustRightInd w:val="0"/>
              <w:snapToGrid w:val="0"/>
              <w:rPr>
                <w:snapToGrid w:val="0"/>
                <w:sz w:val="20"/>
                <w:lang w:val="da-DK"/>
              </w:rPr>
            </w:pPr>
          </w:p>
        </w:tc>
        <w:tc>
          <w:tcPr>
            <w:tcW w:w="3094" w:type="dxa"/>
          </w:tcPr>
          <w:p w14:paraId="6F8F2123"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6A04A3C8" w14:textId="77777777" w:rsidTr="001278B6">
        <w:trPr>
          <w:cantSplit/>
        </w:trPr>
        <w:tc>
          <w:tcPr>
            <w:tcW w:w="3094" w:type="dxa"/>
          </w:tcPr>
          <w:p w14:paraId="07639C77"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Median</w:t>
            </w:r>
          </w:p>
        </w:tc>
        <w:tc>
          <w:tcPr>
            <w:tcW w:w="3094" w:type="dxa"/>
          </w:tcPr>
          <w:p w14:paraId="137630B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8,0</w:t>
            </w:r>
          </w:p>
        </w:tc>
        <w:tc>
          <w:tcPr>
            <w:tcW w:w="3094" w:type="dxa"/>
          </w:tcPr>
          <w:p w14:paraId="38387C4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11,9</w:t>
            </w:r>
          </w:p>
        </w:tc>
      </w:tr>
      <w:tr w:rsidR="003563EF" w:rsidRPr="005476B6" w14:paraId="7B59D287" w14:textId="77777777" w:rsidTr="001278B6">
        <w:trPr>
          <w:cantSplit/>
        </w:trPr>
        <w:tc>
          <w:tcPr>
            <w:tcW w:w="3094" w:type="dxa"/>
          </w:tcPr>
          <w:p w14:paraId="4F0C1063" w14:textId="77777777" w:rsidR="003563EF" w:rsidRPr="001278B6" w:rsidRDefault="00473235" w:rsidP="001278B6">
            <w:pPr>
              <w:pStyle w:val="TableParagraph"/>
              <w:widowControl/>
              <w:adjustRightInd w:val="0"/>
              <w:snapToGrid w:val="0"/>
              <w:ind w:left="180"/>
              <w:rPr>
                <w:snapToGrid w:val="0"/>
                <w:sz w:val="20"/>
                <w:lang w:val="da-DK"/>
              </w:rPr>
            </w:pPr>
            <w:r w:rsidRPr="001278B6">
              <w:rPr>
                <w:i/>
                <w:snapToGrid w:val="0"/>
                <w:sz w:val="20"/>
                <w:lang w:val="da-DK"/>
              </w:rPr>
              <w:t xml:space="preserve">Hazard </w:t>
            </w:r>
            <w:r w:rsidRPr="001278B6">
              <w:rPr>
                <w:snapToGrid w:val="0"/>
                <w:sz w:val="20"/>
                <w:lang w:val="da-DK"/>
              </w:rPr>
              <w:t>ratio (95 %</w:t>
            </w:r>
            <w:r w:rsidR="00353810">
              <w:rPr>
                <w:snapToGrid w:val="0"/>
                <w:sz w:val="20"/>
                <w:lang w:val="da-DK"/>
              </w:rPr>
              <w:t xml:space="preserve"> </w:t>
            </w:r>
            <w:r w:rsidRPr="001278B6">
              <w:rPr>
                <w:snapToGrid w:val="0"/>
                <w:sz w:val="20"/>
                <w:lang w:val="da-DK"/>
              </w:rPr>
              <w:t>konfidensinterval)</w:t>
            </w:r>
          </w:p>
        </w:tc>
        <w:tc>
          <w:tcPr>
            <w:tcW w:w="6188" w:type="dxa"/>
            <w:gridSpan w:val="2"/>
          </w:tcPr>
          <w:p w14:paraId="1CDD92E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0,41 (0,29</w:t>
            </w:r>
            <w:r w:rsidR="004B3750">
              <w:rPr>
                <w:snapToGrid w:val="0"/>
                <w:sz w:val="20"/>
                <w:lang w:val="da-DK"/>
              </w:rPr>
              <w:noBreakHyphen/>
            </w:r>
            <w:r w:rsidRPr="001278B6">
              <w:rPr>
                <w:snapToGrid w:val="0"/>
                <w:sz w:val="20"/>
                <w:lang w:val="da-DK"/>
              </w:rPr>
              <w:t>0,58)</w:t>
            </w:r>
          </w:p>
        </w:tc>
      </w:tr>
      <w:tr w:rsidR="003563EF" w:rsidRPr="005476B6" w14:paraId="0A2733DD" w14:textId="77777777" w:rsidTr="001278B6">
        <w:trPr>
          <w:cantSplit/>
        </w:trPr>
        <w:tc>
          <w:tcPr>
            <w:tcW w:w="3094" w:type="dxa"/>
          </w:tcPr>
          <w:p w14:paraId="3FEE75BC"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&gt; 12 måneder (n=282)</w:t>
            </w:r>
          </w:p>
        </w:tc>
        <w:tc>
          <w:tcPr>
            <w:tcW w:w="3094" w:type="dxa"/>
          </w:tcPr>
          <w:p w14:paraId="3A278E54" w14:textId="77777777" w:rsidR="003563EF" w:rsidRPr="001278B6" w:rsidRDefault="003563EF" w:rsidP="001278B6">
            <w:pPr>
              <w:pStyle w:val="TableParagraph"/>
              <w:widowControl/>
              <w:adjustRightInd w:val="0"/>
              <w:snapToGrid w:val="0"/>
              <w:rPr>
                <w:snapToGrid w:val="0"/>
                <w:sz w:val="20"/>
                <w:lang w:val="da-DK"/>
              </w:rPr>
            </w:pPr>
          </w:p>
        </w:tc>
        <w:tc>
          <w:tcPr>
            <w:tcW w:w="3094" w:type="dxa"/>
          </w:tcPr>
          <w:p w14:paraId="1A8C0EF9"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3872B97E" w14:textId="77777777" w:rsidTr="001278B6">
        <w:trPr>
          <w:cantSplit/>
        </w:trPr>
        <w:tc>
          <w:tcPr>
            <w:tcW w:w="3094" w:type="dxa"/>
          </w:tcPr>
          <w:p w14:paraId="1CFD4AC0" w14:textId="77777777" w:rsidR="003563EF" w:rsidRPr="001278B6" w:rsidRDefault="00473235" w:rsidP="001278B6">
            <w:pPr>
              <w:pStyle w:val="TableParagraph"/>
              <w:widowControl/>
              <w:adjustRightInd w:val="0"/>
              <w:snapToGrid w:val="0"/>
              <w:ind w:left="180"/>
              <w:rPr>
                <w:b/>
                <w:snapToGrid w:val="0"/>
                <w:sz w:val="20"/>
                <w:lang w:val="da-DK"/>
              </w:rPr>
            </w:pPr>
            <w:r w:rsidRPr="001278B6">
              <w:rPr>
                <w:b/>
                <w:snapToGrid w:val="0"/>
                <w:sz w:val="20"/>
                <w:lang w:val="da-DK"/>
              </w:rPr>
              <w:t>Median</w:t>
            </w:r>
          </w:p>
        </w:tc>
        <w:tc>
          <w:tcPr>
            <w:tcW w:w="3094" w:type="dxa"/>
          </w:tcPr>
          <w:p w14:paraId="3C297AB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9,7</w:t>
            </w:r>
          </w:p>
        </w:tc>
        <w:tc>
          <w:tcPr>
            <w:tcW w:w="3094" w:type="dxa"/>
          </w:tcPr>
          <w:p w14:paraId="1E54DB6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12,4</w:t>
            </w:r>
          </w:p>
        </w:tc>
      </w:tr>
      <w:tr w:rsidR="003563EF" w:rsidRPr="005476B6" w14:paraId="71D5C667" w14:textId="77777777" w:rsidTr="001278B6">
        <w:trPr>
          <w:cantSplit/>
        </w:trPr>
        <w:tc>
          <w:tcPr>
            <w:tcW w:w="3094" w:type="dxa"/>
          </w:tcPr>
          <w:p w14:paraId="2442E8E6" w14:textId="77777777" w:rsidR="003563EF" w:rsidRPr="001278B6" w:rsidRDefault="00473235" w:rsidP="001278B6">
            <w:pPr>
              <w:pStyle w:val="TableParagraph"/>
              <w:widowControl/>
              <w:adjustRightInd w:val="0"/>
              <w:snapToGrid w:val="0"/>
              <w:ind w:left="180"/>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 konfidensinterval)</w:t>
            </w:r>
          </w:p>
        </w:tc>
        <w:tc>
          <w:tcPr>
            <w:tcW w:w="6188" w:type="dxa"/>
            <w:gridSpan w:val="2"/>
          </w:tcPr>
          <w:p w14:paraId="35ED760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0,55 (0,41</w:t>
            </w:r>
            <w:r w:rsidR="004B3750">
              <w:rPr>
                <w:snapToGrid w:val="0"/>
                <w:sz w:val="20"/>
                <w:lang w:val="da-DK"/>
              </w:rPr>
              <w:noBreakHyphen/>
            </w:r>
            <w:r w:rsidRPr="001278B6">
              <w:rPr>
                <w:snapToGrid w:val="0"/>
                <w:sz w:val="20"/>
                <w:lang w:val="da-DK"/>
              </w:rPr>
              <w:t>0,73)</w:t>
            </w:r>
          </w:p>
        </w:tc>
      </w:tr>
    </w:tbl>
    <w:p w14:paraId="312951C8" w14:textId="77777777" w:rsidR="003563EF" w:rsidRPr="001278B6" w:rsidRDefault="003563EF" w:rsidP="001278B6">
      <w:pPr>
        <w:pStyle w:val="a3"/>
        <w:widowControl/>
        <w:adjustRightInd w:val="0"/>
        <w:snapToGrid w:val="0"/>
        <w:rPr>
          <w:b/>
          <w:snapToGrid w:val="0"/>
          <w:lang w:val="da-DK"/>
        </w:rPr>
      </w:pPr>
    </w:p>
    <w:p w14:paraId="193342F2"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GOG</w:t>
      </w:r>
      <w:r w:rsidR="004B3750">
        <w:rPr>
          <w:i/>
          <w:snapToGrid w:val="0"/>
          <w:lang w:val="da-DK"/>
        </w:rPr>
        <w:noBreakHyphen/>
      </w:r>
      <w:r w:rsidRPr="001278B6">
        <w:rPr>
          <w:i/>
          <w:snapToGrid w:val="0"/>
          <w:lang w:val="da-DK"/>
        </w:rPr>
        <w:t>0213</w:t>
      </w:r>
    </w:p>
    <w:p w14:paraId="5E9BF6DC" w14:textId="77777777" w:rsidR="003563EF" w:rsidRPr="001278B6" w:rsidRDefault="00473235" w:rsidP="001278B6">
      <w:pPr>
        <w:pStyle w:val="a3"/>
        <w:widowControl/>
        <w:adjustRightInd w:val="0"/>
        <w:snapToGrid w:val="0"/>
        <w:rPr>
          <w:snapToGrid w:val="0"/>
          <w:lang w:val="da-DK"/>
        </w:rPr>
      </w:pPr>
      <w:r w:rsidRPr="001278B6">
        <w:rPr>
          <w:snapToGrid w:val="0"/>
          <w:lang w:val="da-DK"/>
        </w:rPr>
        <w:t>GOG</w:t>
      </w:r>
      <w:r w:rsidR="004B3750">
        <w:rPr>
          <w:snapToGrid w:val="0"/>
          <w:lang w:val="da-DK"/>
        </w:rPr>
        <w:noBreakHyphen/>
      </w:r>
      <w:r w:rsidRPr="001278B6">
        <w:rPr>
          <w:snapToGrid w:val="0"/>
          <w:lang w:val="da-DK"/>
        </w:rPr>
        <w:t xml:space="preserve">0213, et fase III randomiseret, kontrolleret og åbent studie, undersøgte sikkerheden og virkningen af </w:t>
      </w:r>
      <w:r w:rsidR="00522B87">
        <w:rPr>
          <w:snapToGrid w:val="0"/>
          <w:lang w:val="da-DK"/>
        </w:rPr>
        <w:t>bevacizumab</w:t>
      </w:r>
      <w:r w:rsidRPr="001278B6">
        <w:rPr>
          <w:snapToGrid w:val="0"/>
          <w:lang w:val="da-DK"/>
        </w:rPr>
        <w:t xml:space="preserve"> hos patienter med platinfølsom, recidiverende epitelial ovariecancer, tubacancer eller primær peritonealcancer, som ikke tidligere havde fået kemoterapi for recidiverende sygdom. Der var ingen eksklusionskriterier for tidligere behandling med angiogenesehæmmere. Studiet evaluerede effekten af at tilføje </w:t>
      </w:r>
      <w:r w:rsidR="00522B87">
        <w:rPr>
          <w:snapToGrid w:val="0"/>
          <w:lang w:val="da-DK"/>
        </w:rPr>
        <w:t>bevacizumab</w:t>
      </w:r>
      <w:r w:rsidRPr="001278B6">
        <w:rPr>
          <w:snapToGrid w:val="0"/>
          <w:lang w:val="da-DK"/>
        </w:rPr>
        <w:t xml:space="preserve"> til carboplatin+paclitaxel og fortsætte med </w:t>
      </w:r>
      <w:r w:rsidR="00522B87">
        <w:rPr>
          <w:snapToGrid w:val="0"/>
          <w:lang w:val="da-DK"/>
        </w:rPr>
        <w:t>bevacizumab</w:t>
      </w:r>
      <w:r w:rsidRPr="001278B6">
        <w:rPr>
          <w:snapToGrid w:val="0"/>
          <w:lang w:val="da-DK"/>
        </w:rPr>
        <w:t xml:space="preserve"> som monoterapi til sygdomsprogession eller uacceptabel toksicitet, sammenlignet med carboplatin+paclitaxel alene.</w:t>
      </w:r>
    </w:p>
    <w:p w14:paraId="205A3190" w14:textId="77777777" w:rsidR="003563EF" w:rsidRPr="001278B6" w:rsidRDefault="003563EF" w:rsidP="001278B6">
      <w:pPr>
        <w:pStyle w:val="a3"/>
        <w:widowControl/>
        <w:adjustRightInd w:val="0"/>
        <w:snapToGrid w:val="0"/>
        <w:rPr>
          <w:snapToGrid w:val="0"/>
          <w:lang w:val="da-DK"/>
        </w:rPr>
      </w:pPr>
    </w:p>
    <w:p w14:paraId="3F2C1A69" w14:textId="77777777"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I alt blev 673 patienter randomiseret ligeligt mellem to følgende behandlingsarme:</w:t>
      </w:r>
    </w:p>
    <w:p w14:paraId="19FDF15C" w14:textId="77777777" w:rsidR="003563EF" w:rsidRPr="001278B6" w:rsidRDefault="00473235" w:rsidP="001278B6">
      <w:pPr>
        <w:pStyle w:val="Bullet1"/>
        <w:widowControl/>
        <w:rPr>
          <w:lang w:val="da-DK"/>
        </w:rPr>
      </w:pPr>
      <w:r w:rsidRPr="001278B6">
        <w:rPr>
          <w:lang w:val="da-DK"/>
        </w:rPr>
        <w:t>CP arm: Carboplatin (AUC5) og paclitaxel (175</w:t>
      </w:r>
      <w:r w:rsidR="005279CC">
        <w:rPr>
          <w:lang w:val="da-DK"/>
        </w:rPr>
        <w:t> mg</w:t>
      </w:r>
      <w:r w:rsidRPr="001278B6">
        <w:rPr>
          <w:lang w:val="da-DK"/>
        </w:rPr>
        <w:t>/m</w:t>
      </w:r>
      <w:r w:rsidRPr="001278B6">
        <w:rPr>
          <w:vertAlign w:val="superscript"/>
          <w:lang w:val="da-DK"/>
        </w:rPr>
        <w:t>2</w:t>
      </w:r>
      <w:r w:rsidRPr="001278B6">
        <w:rPr>
          <w:lang w:val="da-DK"/>
        </w:rPr>
        <w:t xml:space="preserve"> i</w:t>
      </w:r>
      <w:r w:rsidR="00522B87">
        <w:rPr>
          <w:lang w:val="da-DK"/>
        </w:rPr>
        <w:t>ntravenøst</w:t>
      </w:r>
      <w:r w:rsidRPr="001278B6">
        <w:rPr>
          <w:lang w:val="da-DK"/>
        </w:rPr>
        <w:t>) hver 3. uge i 6 og op til 8 behandlingsserier.</w:t>
      </w:r>
    </w:p>
    <w:p w14:paraId="3E210747" w14:textId="77777777" w:rsidR="003563EF" w:rsidRPr="001278B6" w:rsidRDefault="00473235" w:rsidP="001278B6">
      <w:pPr>
        <w:pStyle w:val="Bullet1"/>
        <w:widowControl/>
        <w:rPr>
          <w:lang w:val="da-DK"/>
        </w:rPr>
      </w:pPr>
      <w:r w:rsidRPr="001278B6">
        <w:rPr>
          <w:lang w:val="da-DK"/>
        </w:rPr>
        <w:t>CPB arm: Carboplatin (AUC5) og paclitaxel (175</w:t>
      </w:r>
      <w:r w:rsidR="005279CC">
        <w:rPr>
          <w:lang w:val="da-DK"/>
        </w:rPr>
        <w:t> mg</w:t>
      </w:r>
      <w:r w:rsidRPr="001278B6">
        <w:rPr>
          <w:lang w:val="da-DK"/>
        </w:rPr>
        <w:t>/m</w:t>
      </w:r>
      <w:r w:rsidRPr="001278B6">
        <w:rPr>
          <w:vertAlign w:val="superscript"/>
          <w:lang w:val="da-DK"/>
        </w:rPr>
        <w:t>2</w:t>
      </w:r>
      <w:r w:rsidRPr="001278B6">
        <w:rPr>
          <w:lang w:val="da-DK"/>
        </w:rPr>
        <w:t xml:space="preserve"> i</w:t>
      </w:r>
      <w:r w:rsidR="00522B87">
        <w:rPr>
          <w:lang w:val="da-DK"/>
        </w:rPr>
        <w:t>ntravenøst</w:t>
      </w:r>
      <w:r w:rsidRPr="001278B6">
        <w:rPr>
          <w:lang w:val="da-DK"/>
        </w:rPr>
        <w:t xml:space="preserve">) samtidig med </w:t>
      </w:r>
      <w:r w:rsidR="00522B87">
        <w:rPr>
          <w:lang w:val="da-DK"/>
        </w:rPr>
        <w:t>bevacizumab</w:t>
      </w:r>
      <w:r w:rsidRPr="001278B6">
        <w:rPr>
          <w:lang w:val="da-DK"/>
        </w:rPr>
        <w:t xml:space="preserve"> (15</w:t>
      </w:r>
      <w:r w:rsidR="00353810">
        <w:rPr>
          <w:lang w:val="da-DK"/>
        </w:rPr>
        <w:t> </w:t>
      </w:r>
      <w:r w:rsidRPr="001278B6">
        <w:rPr>
          <w:lang w:val="da-DK"/>
        </w:rPr>
        <w:t xml:space="preserve">mg/kg) hver 3. uge i 6 og op til 8 behandlingsserier, efterfulgt af </w:t>
      </w:r>
      <w:r w:rsidR="00522B87">
        <w:rPr>
          <w:lang w:val="da-DK"/>
        </w:rPr>
        <w:t>bevacizumab</w:t>
      </w:r>
      <w:r w:rsidRPr="001278B6">
        <w:rPr>
          <w:lang w:val="da-DK"/>
        </w:rPr>
        <w:t xml:space="preserve"> (15</w:t>
      </w:r>
      <w:r w:rsidR="005279CC">
        <w:rPr>
          <w:lang w:val="da-DK"/>
        </w:rPr>
        <w:t> mg</w:t>
      </w:r>
      <w:r w:rsidRPr="001278B6">
        <w:rPr>
          <w:lang w:val="da-DK"/>
        </w:rPr>
        <w:t>/kg hver 3. uge) som monoterapi indtil sygdomsprogresssion eller uacceptabel toksicitet.</w:t>
      </w:r>
    </w:p>
    <w:p w14:paraId="1420F2C2" w14:textId="77777777" w:rsidR="003563EF" w:rsidRPr="001278B6" w:rsidRDefault="003563EF" w:rsidP="001278B6">
      <w:pPr>
        <w:pStyle w:val="a3"/>
        <w:widowControl/>
        <w:adjustRightInd w:val="0"/>
        <w:snapToGrid w:val="0"/>
        <w:rPr>
          <w:snapToGrid w:val="0"/>
          <w:lang w:val="da-DK"/>
        </w:rPr>
      </w:pPr>
    </w:p>
    <w:p w14:paraId="4F0DA649" w14:textId="77777777" w:rsidR="003563EF" w:rsidRPr="001278B6" w:rsidRDefault="00473235" w:rsidP="001278B6">
      <w:pPr>
        <w:pStyle w:val="a3"/>
        <w:widowControl/>
        <w:adjustRightInd w:val="0"/>
        <w:snapToGrid w:val="0"/>
        <w:rPr>
          <w:snapToGrid w:val="0"/>
          <w:lang w:val="da-DK"/>
        </w:rPr>
      </w:pPr>
      <w:r w:rsidRPr="001278B6">
        <w:rPr>
          <w:snapToGrid w:val="0"/>
          <w:lang w:val="da-DK"/>
        </w:rPr>
        <w:t>De fleste af patienterne i både CP</w:t>
      </w:r>
      <w:r w:rsidR="004B3750">
        <w:rPr>
          <w:snapToGrid w:val="0"/>
          <w:lang w:val="da-DK"/>
        </w:rPr>
        <w:noBreakHyphen/>
      </w:r>
      <w:r w:rsidRPr="001278B6">
        <w:rPr>
          <w:snapToGrid w:val="0"/>
          <w:lang w:val="da-DK"/>
        </w:rPr>
        <w:t>armen (80,4 %) og CPB</w:t>
      </w:r>
      <w:r w:rsidR="004B3750">
        <w:rPr>
          <w:snapToGrid w:val="0"/>
          <w:lang w:val="da-DK"/>
        </w:rPr>
        <w:noBreakHyphen/>
      </w:r>
      <w:r w:rsidRPr="001278B6">
        <w:rPr>
          <w:snapToGrid w:val="0"/>
          <w:lang w:val="da-DK"/>
        </w:rPr>
        <w:t>armen (78,9 %) var kaukasiere. Medianalderen var 60 år i CP</w:t>
      </w:r>
      <w:r w:rsidR="004B3750">
        <w:rPr>
          <w:snapToGrid w:val="0"/>
          <w:lang w:val="da-DK"/>
        </w:rPr>
        <w:noBreakHyphen/>
      </w:r>
      <w:r w:rsidRPr="001278B6">
        <w:rPr>
          <w:snapToGrid w:val="0"/>
          <w:lang w:val="da-DK"/>
        </w:rPr>
        <w:t>armen og 59 år i CPB</w:t>
      </w:r>
      <w:r w:rsidR="004B3750">
        <w:rPr>
          <w:snapToGrid w:val="0"/>
          <w:lang w:val="da-DK"/>
        </w:rPr>
        <w:noBreakHyphen/>
      </w:r>
      <w:r w:rsidRPr="001278B6">
        <w:rPr>
          <w:snapToGrid w:val="0"/>
          <w:lang w:val="da-DK"/>
        </w:rPr>
        <w:t>armen. Størstedelen af patienterne (CP: 64,6</w:t>
      </w:r>
      <w:r w:rsidR="00CA2F8C">
        <w:rPr>
          <w:snapToGrid w:val="0"/>
          <w:lang w:val="da-DK"/>
        </w:rPr>
        <w:t> </w:t>
      </w:r>
      <w:r w:rsidRPr="001278B6">
        <w:rPr>
          <w:snapToGrid w:val="0"/>
          <w:lang w:val="da-DK"/>
        </w:rPr>
        <w:t xml:space="preserve">%; CPV: 68,8 %) var &lt; 65 år. Ved </w:t>
      </w:r>
      <w:r w:rsidRPr="001278B6">
        <w:rPr>
          <w:i/>
          <w:snapToGrid w:val="0"/>
          <w:lang w:val="da-DK"/>
        </w:rPr>
        <w:t xml:space="preserve">baseline </w:t>
      </w:r>
      <w:r w:rsidRPr="001278B6">
        <w:rPr>
          <w:snapToGrid w:val="0"/>
          <w:lang w:val="da-DK"/>
        </w:rPr>
        <w:t xml:space="preserve">havde de fleste patienter i begge behandlingsarme en GOG PS på 0 (CP: 82,4 %; CPB: 80,7 %) eller 1 (CP: 16,7 %; CPB: 18,1 %). En GOG PS på 2 ved </w:t>
      </w:r>
      <w:r w:rsidRPr="001278B6">
        <w:rPr>
          <w:i/>
          <w:snapToGrid w:val="0"/>
          <w:lang w:val="da-DK"/>
        </w:rPr>
        <w:t>baseline</w:t>
      </w:r>
      <w:r w:rsidR="00CA2F8C">
        <w:rPr>
          <w:i/>
          <w:snapToGrid w:val="0"/>
          <w:lang w:val="da-DK"/>
        </w:rPr>
        <w:t xml:space="preserve"> </w:t>
      </w:r>
      <w:r w:rsidRPr="001278B6">
        <w:rPr>
          <w:snapToGrid w:val="0"/>
          <w:lang w:val="da-DK"/>
        </w:rPr>
        <w:t>var rapporteret hos 0,9 % af patienterne i CP</w:t>
      </w:r>
      <w:r w:rsidR="004B3750">
        <w:rPr>
          <w:snapToGrid w:val="0"/>
          <w:lang w:val="da-DK"/>
        </w:rPr>
        <w:noBreakHyphen/>
      </w:r>
      <w:r w:rsidRPr="001278B6">
        <w:rPr>
          <w:snapToGrid w:val="0"/>
          <w:lang w:val="da-DK"/>
        </w:rPr>
        <w:t>armen og 1,2 % af patienterne i CPB</w:t>
      </w:r>
      <w:r w:rsidR="004B3750">
        <w:rPr>
          <w:snapToGrid w:val="0"/>
          <w:lang w:val="da-DK"/>
        </w:rPr>
        <w:noBreakHyphen/>
      </w:r>
      <w:r w:rsidRPr="001278B6">
        <w:rPr>
          <w:snapToGrid w:val="0"/>
          <w:lang w:val="da-DK"/>
        </w:rPr>
        <w:t>armen.</w:t>
      </w:r>
    </w:p>
    <w:p w14:paraId="59B125FF" w14:textId="77777777" w:rsidR="003563EF" w:rsidRPr="001278B6" w:rsidRDefault="003563EF" w:rsidP="001278B6">
      <w:pPr>
        <w:pStyle w:val="a3"/>
        <w:widowControl/>
        <w:adjustRightInd w:val="0"/>
        <w:snapToGrid w:val="0"/>
        <w:rPr>
          <w:snapToGrid w:val="0"/>
          <w:lang w:val="da-DK"/>
        </w:rPr>
      </w:pPr>
    </w:p>
    <w:p w14:paraId="7C0B7B8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Det primære endepunkt var </w:t>
      </w:r>
      <w:r w:rsidR="00522B87">
        <w:rPr>
          <w:snapToGrid w:val="0"/>
          <w:lang w:val="da-DK"/>
        </w:rPr>
        <w:t>OS</w:t>
      </w:r>
      <w:r w:rsidRPr="001278B6">
        <w:rPr>
          <w:snapToGrid w:val="0"/>
          <w:lang w:val="da-DK"/>
        </w:rPr>
        <w:t xml:space="preserve">. Det sekundære endepunkt var </w:t>
      </w:r>
      <w:r w:rsidR="00522B87">
        <w:rPr>
          <w:snapToGrid w:val="0"/>
          <w:lang w:val="da-DK"/>
        </w:rPr>
        <w:t>PFS</w:t>
      </w:r>
      <w:r w:rsidRPr="001278B6">
        <w:rPr>
          <w:snapToGrid w:val="0"/>
          <w:lang w:val="da-DK"/>
        </w:rPr>
        <w:t>. Resultater vises i tabel 22.</w:t>
      </w:r>
    </w:p>
    <w:p w14:paraId="5F8FE135" w14:textId="77777777" w:rsidR="0079124A" w:rsidRPr="001278B6" w:rsidRDefault="0079124A" w:rsidP="001278B6">
      <w:pPr>
        <w:widowControl/>
        <w:adjustRightInd w:val="0"/>
        <w:snapToGrid w:val="0"/>
        <w:rPr>
          <w:snapToGrid w:val="0"/>
          <w:lang w:val="da-DK"/>
        </w:rPr>
      </w:pPr>
    </w:p>
    <w:p w14:paraId="2DBF9A60" w14:textId="7FCDB051" w:rsidR="003563EF" w:rsidRPr="00E85219" w:rsidRDefault="00473235" w:rsidP="00E85219">
      <w:pPr>
        <w:ind w:left="1134" w:hanging="1134"/>
        <w:rPr>
          <w:b/>
          <w:bCs/>
          <w:snapToGrid w:val="0"/>
          <w:lang w:val="da-DK"/>
        </w:rPr>
      </w:pPr>
      <w:r w:rsidRPr="00E85219">
        <w:rPr>
          <w:b/>
          <w:bCs/>
          <w:snapToGrid w:val="0"/>
          <w:lang w:val="da-DK"/>
        </w:rPr>
        <w:t>Tabel 22</w:t>
      </w:r>
      <w:r w:rsidR="00A95F2C" w:rsidRPr="00E85219">
        <w:rPr>
          <w:b/>
          <w:bCs/>
          <w:snapToGrid w:val="0"/>
          <w:lang w:val="da-DK"/>
        </w:rPr>
        <w:t>.</w:t>
      </w:r>
      <w:r w:rsidRPr="00E85219">
        <w:rPr>
          <w:b/>
          <w:bCs/>
          <w:snapToGrid w:val="0"/>
          <w:lang w:val="da-DK"/>
        </w:rPr>
        <w:tab/>
        <w:t>Effektresultater</w:t>
      </w:r>
      <w:r w:rsidRPr="00E85219">
        <w:rPr>
          <w:b/>
          <w:bCs/>
          <w:snapToGrid w:val="0"/>
          <w:vertAlign w:val="superscript"/>
          <w:lang w:val="da-DK"/>
        </w:rPr>
        <w:t>1,2</w:t>
      </w:r>
      <w:r w:rsidRPr="00E85219">
        <w:rPr>
          <w:b/>
          <w:bCs/>
          <w:snapToGrid w:val="0"/>
          <w:lang w:val="da-DK"/>
        </w:rPr>
        <w:t xml:space="preserve"> fra studie GOG</w:t>
      </w:r>
      <w:r w:rsidR="004B3750" w:rsidRPr="00E85219">
        <w:rPr>
          <w:b/>
          <w:bCs/>
          <w:snapToGrid w:val="0"/>
          <w:lang w:val="da-DK"/>
        </w:rPr>
        <w:noBreakHyphen/>
      </w:r>
      <w:r w:rsidRPr="00E85219">
        <w:rPr>
          <w:b/>
          <w:bCs/>
          <w:snapToGrid w:val="0"/>
          <w:lang w:val="da-DK"/>
        </w:rPr>
        <w:t>0213</w:t>
      </w:r>
    </w:p>
    <w:p w14:paraId="2A9232D6"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2289"/>
        <w:gridCol w:w="2611"/>
      </w:tblGrid>
      <w:tr w:rsidR="003563EF" w:rsidRPr="005476B6" w14:paraId="4DC2158B" w14:textId="77777777" w:rsidTr="001278B6">
        <w:trPr>
          <w:cantSplit/>
        </w:trPr>
        <w:tc>
          <w:tcPr>
            <w:tcW w:w="8916" w:type="dxa"/>
            <w:gridSpan w:val="3"/>
          </w:tcPr>
          <w:p w14:paraId="45B50D0A" w14:textId="77777777" w:rsidR="003563EF" w:rsidRPr="001278B6" w:rsidRDefault="00473235" w:rsidP="001278B6">
            <w:pPr>
              <w:pStyle w:val="TableParagraph"/>
              <w:keepNext/>
              <w:keepLines/>
              <w:widowControl/>
              <w:adjustRightInd w:val="0"/>
              <w:snapToGrid w:val="0"/>
              <w:rPr>
                <w:b/>
                <w:snapToGrid w:val="0"/>
                <w:sz w:val="20"/>
                <w:lang w:val="da-DK"/>
              </w:rPr>
            </w:pPr>
            <w:r w:rsidRPr="001278B6">
              <w:rPr>
                <w:b/>
                <w:snapToGrid w:val="0"/>
                <w:sz w:val="20"/>
                <w:lang w:val="da-DK"/>
              </w:rPr>
              <w:t>Primært endepunkt</w:t>
            </w:r>
          </w:p>
        </w:tc>
      </w:tr>
      <w:tr w:rsidR="003563EF" w:rsidRPr="005476B6" w14:paraId="1C3F564A" w14:textId="77777777" w:rsidTr="001278B6">
        <w:trPr>
          <w:cantSplit/>
        </w:trPr>
        <w:tc>
          <w:tcPr>
            <w:tcW w:w="4097" w:type="dxa"/>
          </w:tcPr>
          <w:p w14:paraId="29C15854" w14:textId="77777777" w:rsidR="003563EF" w:rsidRPr="001278B6" w:rsidRDefault="00473235" w:rsidP="001278B6">
            <w:pPr>
              <w:pStyle w:val="TableParagraph"/>
              <w:keepNext/>
              <w:keepLines/>
              <w:widowControl/>
              <w:adjustRightInd w:val="0"/>
              <w:snapToGrid w:val="0"/>
              <w:rPr>
                <w:b/>
                <w:snapToGrid w:val="0"/>
                <w:sz w:val="20"/>
                <w:lang w:val="da-DK"/>
              </w:rPr>
            </w:pPr>
            <w:r w:rsidRPr="001278B6">
              <w:rPr>
                <w:b/>
                <w:snapToGrid w:val="0"/>
                <w:sz w:val="20"/>
                <w:u w:val="single"/>
                <w:lang w:val="da-DK"/>
              </w:rPr>
              <w:t>Samlet overlevelse</w:t>
            </w:r>
          </w:p>
        </w:tc>
        <w:tc>
          <w:tcPr>
            <w:tcW w:w="2251" w:type="dxa"/>
          </w:tcPr>
          <w:p w14:paraId="79665864" w14:textId="77777777" w:rsidR="00CA2F8C" w:rsidRDefault="00473235">
            <w:pPr>
              <w:pStyle w:val="TableParagraph"/>
              <w:keepNext/>
              <w:keepLines/>
              <w:widowControl/>
              <w:adjustRightInd w:val="0"/>
              <w:snapToGrid w:val="0"/>
              <w:jc w:val="center"/>
              <w:rPr>
                <w:snapToGrid w:val="0"/>
                <w:sz w:val="20"/>
                <w:lang w:val="da-DK"/>
              </w:rPr>
            </w:pPr>
            <w:r w:rsidRPr="001278B6">
              <w:rPr>
                <w:snapToGrid w:val="0"/>
                <w:sz w:val="20"/>
                <w:lang w:val="da-DK"/>
              </w:rPr>
              <w:t>CP</w:t>
            </w:r>
          </w:p>
          <w:p w14:paraId="6659F846"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(n=336)</w:t>
            </w:r>
          </w:p>
        </w:tc>
        <w:tc>
          <w:tcPr>
            <w:tcW w:w="2568" w:type="dxa"/>
          </w:tcPr>
          <w:p w14:paraId="249690B0" w14:textId="77777777" w:rsidR="00CA2F8C" w:rsidRDefault="00473235">
            <w:pPr>
              <w:pStyle w:val="TableParagraph"/>
              <w:keepNext/>
              <w:keepLines/>
              <w:widowControl/>
              <w:adjustRightInd w:val="0"/>
              <w:snapToGrid w:val="0"/>
              <w:jc w:val="center"/>
              <w:rPr>
                <w:snapToGrid w:val="0"/>
                <w:sz w:val="20"/>
                <w:lang w:val="da-DK"/>
              </w:rPr>
            </w:pPr>
            <w:r w:rsidRPr="001278B6">
              <w:rPr>
                <w:snapToGrid w:val="0"/>
                <w:sz w:val="20"/>
                <w:lang w:val="da-DK"/>
              </w:rPr>
              <w:t xml:space="preserve">CPB </w:t>
            </w:r>
          </w:p>
          <w:p w14:paraId="3F39820F"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(n=337)</w:t>
            </w:r>
          </w:p>
        </w:tc>
      </w:tr>
      <w:tr w:rsidR="003563EF" w:rsidRPr="005476B6" w14:paraId="31EBBADF" w14:textId="77777777" w:rsidTr="001278B6">
        <w:trPr>
          <w:cantSplit/>
        </w:trPr>
        <w:tc>
          <w:tcPr>
            <w:tcW w:w="4097" w:type="dxa"/>
          </w:tcPr>
          <w:p w14:paraId="44DE0A62"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samlet overlevelse (måneder)</w:t>
            </w:r>
          </w:p>
        </w:tc>
        <w:tc>
          <w:tcPr>
            <w:tcW w:w="2251" w:type="dxa"/>
          </w:tcPr>
          <w:p w14:paraId="15411F9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37,3</w:t>
            </w:r>
          </w:p>
        </w:tc>
        <w:tc>
          <w:tcPr>
            <w:tcW w:w="2568" w:type="dxa"/>
          </w:tcPr>
          <w:p w14:paraId="7E66342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42,6</w:t>
            </w:r>
          </w:p>
        </w:tc>
      </w:tr>
      <w:tr w:rsidR="003563EF" w:rsidRPr="005476B6" w14:paraId="5D8F474A" w14:textId="77777777" w:rsidTr="001278B6">
        <w:trPr>
          <w:cantSplit/>
        </w:trPr>
        <w:tc>
          <w:tcPr>
            <w:tcW w:w="4097" w:type="dxa"/>
          </w:tcPr>
          <w:p w14:paraId="3B6CDCD8" w14:textId="77777777" w:rsidR="003563EF" w:rsidRPr="00051658" w:rsidRDefault="00473235" w:rsidP="001278B6">
            <w:pPr>
              <w:pStyle w:val="TableParagraph"/>
              <w:widowControl/>
              <w:adjustRightInd w:val="0"/>
              <w:snapToGrid w:val="0"/>
              <w:rPr>
                <w:snapToGrid w:val="0"/>
                <w:sz w:val="20"/>
              </w:rPr>
            </w:pPr>
            <w:r w:rsidRPr="00F466A3">
              <w:rPr>
                <w:iCs/>
                <w:snapToGrid w:val="0"/>
                <w:sz w:val="20"/>
              </w:rPr>
              <w:t>Hazard</w:t>
            </w:r>
            <w:r w:rsidRPr="00051658">
              <w:rPr>
                <w:i/>
                <w:snapToGrid w:val="0"/>
                <w:sz w:val="20"/>
              </w:rPr>
              <w:t xml:space="preserve"> </w:t>
            </w:r>
            <w:r w:rsidRPr="00051658">
              <w:rPr>
                <w:snapToGrid w:val="0"/>
                <w:sz w:val="20"/>
              </w:rPr>
              <w:t xml:space="preserve">ratio (95% </w:t>
            </w:r>
            <w:proofErr w:type="spellStart"/>
            <w:r w:rsidRPr="00051658">
              <w:rPr>
                <w:snapToGrid w:val="0"/>
                <w:sz w:val="20"/>
              </w:rPr>
              <w:t>konfidenstinterval</w:t>
            </w:r>
            <w:proofErr w:type="spellEnd"/>
            <w:r w:rsidRPr="00051658">
              <w:rPr>
                <w:snapToGrid w:val="0"/>
                <w:sz w:val="20"/>
              </w:rPr>
              <w:t>) (eCRF)</w:t>
            </w:r>
            <w:r w:rsidRPr="00051658">
              <w:rPr>
                <w:snapToGrid w:val="0"/>
                <w:sz w:val="20"/>
                <w:vertAlign w:val="superscript"/>
              </w:rPr>
              <w:t>a</w:t>
            </w:r>
          </w:p>
        </w:tc>
        <w:tc>
          <w:tcPr>
            <w:tcW w:w="4819" w:type="dxa"/>
            <w:gridSpan w:val="2"/>
          </w:tcPr>
          <w:p w14:paraId="5A61308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0,823 [0,680; 0,996]</w:t>
            </w:r>
          </w:p>
        </w:tc>
      </w:tr>
      <w:tr w:rsidR="003563EF" w:rsidRPr="005476B6" w14:paraId="5107DD57" w14:textId="77777777" w:rsidTr="001278B6">
        <w:trPr>
          <w:cantSplit/>
        </w:trPr>
        <w:tc>
          <w:tcPr>
            <w:tcW w:w="4097" w:type="dxa"/>
          </w:tcPr>
          <w:p w14:paraId="5CAECE14"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4819" w:type="dxa"/>
            <w:gridSpan w:val="2"/>
          </w:tcPr>
          <w:p w14:paraId="3924BA3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0,0447</w:t>
            </w:r>
          </w:p>
        </w:tc>
      </w:tr>
      <w:tr w:rsidR="003563EF" w:rsidRPr="005476B6" w14:paraId="5797A35A" w14:textId="77777777" w:rsidTr="001278B6">
        <w:trPr>
          <w:cantSplit/>
        </w:trPr>
        <w:tc>
          <w:tcPr>
            <w:tcW w:w="4097" w:type="dxa"/>
          </w:tcPr>
          <w:p w14:paraId="35C32FE4"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1278B6">
              <w:rPr>
                <w:snapToGrid w:val="0"/>
                <w:sz w:val="20"/>
                <w:lang w:val="da-DK"/>
              </w:rPr>
              <w:t>ratio (95% konfidensinterval) (registrerings</w:t>
            </w:r>
            <w:r w:rsidR="004B3750">
              <w:rPr>
                <w:snapToGrid w:val="0"/>
                <w:sz w:val="20"/>
                <w:lang w:val="da-DK"/>
              </w:rPr>
              <w:noBreakHyphen/>
            </w:r>
            <w:r w:rsidRPr="001278B6">
              <w:rPr>
                <w:snapToGrid w:val="0"/>
                <w:sz w:val="20"/>
                <w:lang w:val="da-DK"/>
              </w:rPr>
              <w:t>form)</w:t>
            </w:r>
            <w:r w:rsidRPr="001278B6">
              <w:rPr>
                <w:snapToGrid w:val="0"/>
                <w:sz w:val="20"/>
                <w:vertAlign w:val="superscript"/>
                <w:lang w:val="da-DK"/>
              </w:rPr>
              <w:t>b</w:t>
            </w:r>
          </w:p>
        </w:tc>
        <w:tc>
          <w:tcPr>
            <w:tcW w:w="4819" w:type="dxa"/>
            <w:gridSpan w:val="2"/>
          </w:tcPr>
          <w:p w14:paraId="1C111D2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0,838 [0,693; 1,014]</w:t>
            </w:r>
          </w:p>
        </w:tc>
      </w:tr>
      <w:tr w:rsidR="003563EF" w:rsidRPr="005476B6" w14:paraId="218BD851" w14:textId="77777777" w:rsidTr="001278B6">
        <w:trPr>
          <w:cantSplit/>
        </w:trPr>
        <w:tc>
          <w:tcPr>
            <w:tcW w:w="4097" w:type="dxa"/>
          </w:tcPr>
          <w:p w14:paraId="6F629327"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4819" w:type="dxa"/>
            <w:gridSpan w:val="2"/>
          </w:tcPr>
          <w:p w14:paraId="33B428B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0,0683</w:t>
            </w:r>
          </w:p>
        </w:tc>
      </w:tr>
      <w:tr w:rsidR="003563EF" w:rsidRPr="005476B6" w14:paraId="63C17D1C" w14:textId="77777777" w:rsidTr="001278B6">
        <w:trPr>
          <w:cantSplit/>
        </w:trPr>
        <w:tc>
          <w:tcPr>
            <w:tcW w:w="8916" w:type="dxa"/>
            <w:gridSpan w:val="3"/>
          </w:tcPr>
          <w:p w14:paraId="0CF6665C"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Sekundært endepunkt</w:t>
            </w:r>
          </w:p>
        </w:tc>
      </w:tr>
      <w:tr w:rsidR="003563EF" w:rsidRPr="005476B6" w14:paraId="25285C4A" w14:textId="77777777" w:rsidTr="001278B6">
        <w:trPr>
          <w:cantSplit/>
        </w:trPr>
        <w:tc>
          <w:tcPr>
            <w:tcW w:w="4097" w:type="dxa"/>
          </w:tcPr>
          <w:p w14:paraId="10E98307"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Progressionsfri overlevelse</w:t>
            </w:r>
          </w:p>
        </w:tc>
        <w:tc>
          <w:tcPr>
            <w:tcW w:w="2251" w:type="dxa"/>
          </w:tcPr>
          <w:p w14:paraId="69544D93" w14:textId="77777777" w:rsidR="00CA2F8C" w:rsidRDefault="00473235">
            <w:pPr>
              <w:pStyle w:val="TableParagraph"/>
              <w:widowControl/>
              <w:adjustRightInd w:val="0"/>
              <w:snapToGrid w:val="0"/>
              <w:jc w:val="center"/>
              <w:rPr>
                <w:snapToGrid w:val="0"/>
                <w:sz w:val="20"/>
                <w:lang w:val="da-DK"/>
              </w:rPr>
            </w:pPr>
            <w:r w:rsidRPr="001278B6">
              <w:rPr>
                <w:snapToGrid w:val="0"/>
                <w:sz w:val="20"/>
                <w:lang w:val="da-DK"/>
              </w:rPr>
              <w:t xml:space="preserve">CP </w:t>
            </w:r>
          </w:p>
          <w:p w14:paraId="6230FCC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(n=336)</w:t>
            </w:r>
          </w:p>
        </w:tc>
        <w:tc>
          <w:tcPr>
            <w:tcW w:w="2568" w:type="dxa"/>
          </w:tcPr>
          <w:p w14:paraId="0C5E7294" w14:textId="77777777" w:rsidR="00CA2F8C" w:rsidRDefault="00473235">
            <w:pPr>
              <w:pStyle w:val="TableParagraph"/>
              <w:widowControl/>
              <w:adjustRightInd w:val="0"/>
              <w:snapToGrid w:val="0"/>
              <w:jc w:val="center"/>
              <w:rPr>
                <w:snapToGrid w:val="0"/>
                <w:sz w:val="20"/>
                <w:lang w:val="da-DK"/>
              </w:rPr>
            </w:pPr>
            <w:r w:rsidRPr="001278B6">
              <w:rPr>
                <w:snapToGrid w:val="0"/>
                <w:sz w:val="20"/>
                <w:lang w:val="da-DK"/>
              </w:rPr>
              <w:t xml:space="preserve">CPB </w:t>
            </w:r>
          </w:p>
          <w:p w14:paraId="1E5E5D2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(n=337)</w:t>
            </w:r>
          </w:p>
        </w:tc>
      </w:tr>
      <w:tr w:rsidR="003563EF" w:rsidRPr="005476B6" w14:paraId="33859C0B" w14:textId="77777777" w:rsidTr="001278B6">
        <w:trPr>
          <w:cantSplit/>
        </w:trPr>
        <w:tc>
          <w:tcPr>
            <w:tcW w:w="4097" w:type="dxa"/>
          </w:tcPr>
          <w:p w14:paraId="1869426D"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progression</w:t>
            </w:r>
            <w:r w:rsidR="005279CC">
              <w:rPr>
                <w:snapToGrid w:val="0"/>
                <w:sz w:val="20"/>
                <w:lang w:val="da-DK"/>
              </w:rPr>
              <w:t>s</w:t>
            </w:r>
            <w:r w:rsidRPr="001278B6">
              <w:rPr>
                <w:snapToGrid w:val="0"/>
                <w:sz w:val="20"/>
                <w:lang w:val="da-DK"/>
              </w:rPr>
              <w:t>fri overlevelse (måneder)</w:t>
            </w:r>
          </w:p>
        </w:tc>
        <w:tc>
          <w:tcPr>
            <w:tcW w:w="2251" w:type="dxa"/>
          </w:tcPr>
          <w:p w14:paraId="1926044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10,2</w:t>
            </w:r>
          </w:p>
        </w:tc>
        <w:tc>
          <w:tcPr>
            <w:tcW w:w="2568" w:type="dxa"/>
          </w:tcPr>
          <w:p w14:paraId="627EBF8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13,8</w:t>
            </w:r>
          </w:p>
        </w:tc>
      </w:tr>
      <w:tr w:rsidR="003563EF" w:rsidRPr="005476B6" w14:paraId="001CF01A" w14:textId="77777777" w:rsidTr="001278B6">
        <w:trPr>
          <w:cantSplit/>
        </w:trPr>
        <w:tc>
          <w:tcPr>
            <w:tcW w:w="4097" w:type="dxa"/>
          </w:tcPr>
          <w:p w14:paraId="27C02638" w14:textId="77777777" w:rsidR="003563EF" w:rsidRPr="001278B6" w:rsidRDefault="00473235" w:rsidP="001278B6">
            <w:pPr>
              <w:pStyle w:val="TableParagraph"/>
              <w:widowControl/>
              <w:adjustRightInd w:val="0"/>
              <w:snapToGrid w:val="0"/>
              <w:rPr>
                <w:snapToGrid w:val="0"/>
                <w:sz w:val="20"/>
                <w:lang w:val="da-DK"/>
              </w:rPr>
            </w:pPr>
            <w:r w:rsidRPr="001278B6">
              <w:rPr>
                <w:i/>
                <w:snapToGrid w:val="0"/>
                <w:sz w:val="20"/>
                <w:lang w:val="da-DK"/>
              </w:rPr>
              <w:t xml:space="preserve">Hazard </w:t>
            </w:r>
            <w:r w:rsidRPr="001278B6">
              <w:rPr>
                <w:snapToGrid w:val="0"/>
                <w:sz w:val="20"/>
                <w:lang w:val="da-DK"/>
              </w:rPr>
              <w:t>ratio (95% konfidensinterval)</w:t>
            </w:r>
          </w:p>
        </w:tc>
        <w:tc>
          <w:tcPr>
            <w:tcW w:w="4819" w:type="dxa"/>
            <w:gridSpan w:val="2"/>
          </w:tcPr>
          <w:p w14:paraId="1186EC1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0,613 [0,521; 0,721]</w:t>
            </w:r>
          </w:p>
        </w:tc>
      </w:tr>
      <w:tr w:rsidR="003563EF" w:rsidRPr="005476B6" w14:paraId="35F42687" w14:textId="77777777" w:rsidTr="001278B6">
        <w:trPr>
          <w:cantSplit/>
        </w:trPr>
        <w:tc>
          <w:tcPr>
            <w:tcW w:w="4097" w:type="dxa"/>
          </w:tcPr>
          <w:p w14:paraId="7133C792"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p</w:t>
            </w:r>
            <w:r w:rsidR="004B3750">
              <w:rPr>
                <w:snapToGrid w:val="0"/>
                <w:sz w:val="20"/>
                <w:lang w:val="da-DK"/>
              </w:rPr>
              <w:noBreakHyphen/>
            </w:r>
            <w:r w:rsidRPr="001278B6">
              <w:rPr>
                <w:snapToGrid w:val="0"/>
                <w:sz w:val="20"/>
                <w:lang w:val="da-DK"/>
              </w:rPr>
              <w:t>værdi</w:t>
            </w:r>
          </w:p>
        </w:tc>
        <w:tc>
          <w:tcPr>
            <w:tcW w:w="4819" w:type="dxa"/>
            <w:gridSpan w:val="2"/>
          </w:tcPr>
          <w:p w14:paraId="6A7C19B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w:t>
            </w:r>
            <w:r w:rsidR="00CC63E2">
              <w:rPr>
                <w:snapToGrid w:val="0"/>
                <w:sz w:val="20"/>
                <w:lang w:val="da-DK"/>
              </w:rPr>
              <w:t xml:space="preserve"> </w:t>
            </w:r>
            <w:r w:rsidRPr="001278B6">
              <w:rPr>
                <w:snapToGrid w:val="0"/>
                <w:sz w:val="20"/>
                <w:lang w:val="da-DK"/>
              </w:rPr>
              <w:t>0,0001</w:t>
            </w:r>
          </w:p>
        </w:tc>
      </w:tr>
    </w:tbl>
    <w:p w14:paraId="7276CBBA" w14:textId="77777777" w:rsidR="003E13EC"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1</w:t>
      </w:r>
      <w:r w:rsidR="00E10AC0" w:rsidRPr="001278B6">
        <w:rPr>
          <w:snapToGrid w:val="0"/>
          <w:sz w:val="18"/>
          <w:szCs w:val="18"/>
          <w:lang w:val="da-DK"/>
        </w:rPr>
        <w:t xml:space="preserve"> </w:t>
      </w:r>
      <w:r w:rsidRPr="001278B6">
        <w:rPr>
          <w:snapToGrid w:val="0"/>
          <w:sz w:val="18"/>
          <w:szCs w:val="18"/>
          <w:lang w:val="da-DK"/>
        </w:rPr>
        <w:t xml:space="preserve">Endelig analyse </w:t>
      </w:r>
    </w:p>
    <w:p w14:paraId="527291BC" w14:textId="085C55FC"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2</w:t>
      </w:r>
      <w:r w:rsidR="00E10AC0" w:rsidRPr="001278B6">
        <w:rPr>
          <w:snapToGrid w:val="0"/>
          <w:sz w:val="18"/>
          <w:szCs w:val="18"/>
          <w:lang w:val="da-DK"/>
        </w:rPr>
        <w:t xml:space="preserve"> </w:t>
      </w:r>
      <w:r w:rsidRPr="001278B6">
        <w:rPr>
          <w:snapToGrid w:val="0"/>
          <w:sz w:val="18"/>
          <w:szCs w:val="18"/>
          <w:lang w:val="da-DK"/>
        </w:rPr>
        <w:t>Tumorvurdering og responsevaluering var bestemt af investigatorerne udfra GOG RECIST kriterier (revideret RECIST guideline (version 1.1) Eur J Cancer. 2009;</w:t>
      </w:r>
      <w:r w:rsidR="002B78FA">
        <w:rPr>
          <w:snapToGrid w:val="0"/>
          <w:sz w:val="18"/>
          <w:szCs w:val="18"/>
          <w:lang w:val="da-DK"/>
        </w:rPr>
        <w:t xml:space="preserve"> </w:t>
      </w:r>
      <w:r w:rsidRPr="001278B6">
        <w:rPr>
          <w:snapToGrid w:val="0"/>
          <w:sz w:val="18"/>
          <w:szCs w:val="18"/>
          <w:lang w:val="da-DK"/>
        </w:rPr>
        <w:t>45:228Y247).</w:t>
      </w:r>
    </w:p>
    <w:p w14:paraId="104DBA2F" w14:textId="77777777" w:rsidR="003E13EC"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a</w:t>
      </w:r>
      <w:r w:rsidR="00E10AC0" w:rsidRPr="001278B6">
        <w:rPr>
          <w:snapToGrid w:val="0"/>
          <w:sz w:val="18"/>
          <w:szCs w:val="18"/>
          <w:lang w:val="da-DK"/>
        </w:rPr>
        <w:t xml:space="preserve"> </w:t>
      </w:r>
      <w:r w:rsidRPr="001278B6">
        <w:rPr>
          <w:i/>
          <w:snapToGrid w:val="0"/>
          <w:sz w:val="18"/>
          <w:szCs w:val="18"/>
          <w:lang w:val="da-DK"/>
        </w:rPr>
        <w:t xml:space="preserve">Hazard </w:t>
      </w:r>
      <w:r w:rsidRPr="001278B6">
        <w:rPr>
          <w:snapToGrid w:val="0"/>
          <w:sz w:val="18"/>
          <w:szCs w:val="18"/>
          <w:lang w:val="da-DK"/>
        </w:rPr>
        <w:t xml:space="preserve">ratio blev estimeret ud fra Cox proportionelle </w:t>
      </w:r>
      <w:r w:rsidRPr="001278B6">
        <w:rPr>
          <w:i/>
          <w:snapToGrid w:val="0"/>
          <w:sz w:val="18"/>
          <w:szCs w:val="18"/>
          <w:lang w:val="da-DK"/>
        </w:rPr>
        <w:t xml:space="preserve">hazard </w:t>
      </w:r>
      <w:r w:rsidRPr="001278B6">
        <w:rPr>
          <w:snapToGrid w:val="0"/>
          <w:sz w:val="18"/>
          <w:szCs w:val="18"/>
          <w:lang w:val="da-DK"/>
        </w:rPr>
        <w:t>modeller stratificeret efter varighed af platinfri periode før inklusion i studiet per eCRF (</w:t>
      </w:r>
      <w:r w:rsidRPr="001278B6">
        <w:rPr>
          <w:i/>
          <w:snapToGrid w:val="0"/>
          <w:sz w:val="18"/>
          <w:szCs w:val="18"/>
          <w:lang w:val="da-DK"/>
        </w:rPr>
        <w:t>electronic case report form</w:t>
      </w:r>
      <w:r w:rsidRPr="001278B6">
        <w:rPr>
          <w:snapToGrid w:val="0"/>
          <w:sz w:val="18"/>
          <w:szCs w:val="18"/>
          <w:lang w:val="da-DK"/>
        </w:rPr>
        <w:t xml:space="preserve">) og sekundær kirurgisk tumorreduktionsstatus Ja/Nej. (Ja = randomiseret til tumorreduktion eller randomiseret til ingen tumorreduktion; No = ikke en kandidat eller kandidaten indvilligede ikke i tumorreduktion.) </w:t>
      </w:r>
    </w:p>
    <w:p w14:paraId="10EC4B3C"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b</w:t>
      </w:r>
      <w:r w:rsidRPr="001278B6">
        <w:rPr>
          <w:snapToGrid w:val="0"/>
          <w:sz w:val="18"/>
          <w:szCs w:val="18"/>
          <w:lang w:val="da-DK"/>
        </w:rPr>
        <w:t xml:space="preserve"> Stratificeret efter varighed af behandlingsfri periode før inklusion i studiet per registreringsform og sekundær kirurgisk tumorreduktionsstatus Ja/Nej.</w:t>
      </w:r>
    </w:p>
    <w:p w14:paraId="540EEC13" w14:textId="77777777" w:rsidR="003563EF" w:rsidRPr="001278B6" w:rsidRDefault="003563EF" w:rsidP="001278B6">
      <w:pPr>
        <w:pStyle w:val="a3"/>
        <w:widowControl/>
        <w:adjustRightInd w:val="0"/>
        <w:snapToGrid w:val="0"/>
        <w:rPr>
          <w:snapToGrid w:val="0"/>
          <w:lang w:val="da-DK"/>
        </w:rPr>
      </w:pPr>
    </w:p>
    <w:p w14:paraId="5B838658"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Studiet opfyldte det primære mål, som var forbedret samlet overlevelse. Behandling med </w:t>
      </w:r>
      <w:r w:rsidR="00522B87">
        <w:rPr>
          <w:snapToGrid w:val="0"/>
          <w:lang w:val="da-DK"/>
        </w:rPr>
        <w:t>bevacizumab</w:t>
      </w:r>
      <w:r w:rsidRPr="001278B6">
        <w:rPr>
          <w:snapToGrid w:val="0"/>
          <w:lang w:val="da-DK"/>
        </w:rPr>
        <w:t xml:space="preserve"> 15</w:t>
      </w:r>
      <w:r w:rsidR="00835413">
        <w:rPr>
          <w:snapToGrid w:val="0"/>
          <w:lang w:val="da-DK"/>
        </w:rPr>
        <w:t> </w:t>
      </w:r>
      <w:r w:rsidRPr="001278B6">
        <w:rPr>
          <w:snapToGrid w:val="0"/>
          <w:lang w:val="da-DK"/>
        </w:rPr>
        <w:t>mg/kg hver 3. uge i kombination med kemoterapi (carboplatin og paclitaxel) i 6 og op til 8</w:t>
      </w:r>
      <w:r w:rsidR="00835413">
        <w:rPr>
          <w:snapToGrid w:val="0"/>
          <w:lang w:val="da-DK"/>
        </w:rPr>
        <w:t> </w:t>
      </w:r>
      <w:r w:rsidRPr="001278B6">
        <w:rPr>
          <w:snapToGrid w:val="0"/>
          <w:lang w:val="da-DK"/>
        </w:rPr>
        <w:t xml:space="preserve">behandlingsserier, efterfulgt af </w:t>
      </w:r>
      <w:r w:rsidR="00522B87">
        <w:rPr>
          <w:snapToGrid w:val="0"/>
          <w:lang w:val="da-DK"/>
        </w:rPr>
        <w:t>bevacizumab</w:t>
      </w:r>
      <w:r w:rsidRPr="001278B6">
        <w:rPr>
          <w:snapToGrid w:val="0"/>
          <w:lang w:val="da-DK"/>
        </w:rPr>
        <w:t xml:space="preserve"> monoterapi indtil sygdomsprogression eller uacceptabel toksicitet, resulterede i en klinisk betydningsfuld og statistisk signifikant forbedring i samlet overlevelse sammenlignet med behandling med carboplatin og paclitaxel alene, ved data udledt fra eCRF.</w:t>
      </w:r>
    </w:p>
    <w:p w14:paraId="5FC5B7F5" w14:textId="77777777" w:rsidR="003563EF" w:rsidRPr="001278B6" w:rsidRDefault="003563EF" w:rsidP="001278B6">
      <w:pPr>
        <w:pStyle w:val="a3"/>
        <w:widowControl/>
        <w:adjustRightInd w:val="0"/>
        <w:snapToGrid w:val="0"/>
        <w:rPr>
          <w:snapToGrid w:val="0"/>
          <w:lang w:val="da-DK"/>
        </w:rPr>
      </w:pPr>
    </w:p>
    <w:p w14:paraId="3F2F119D" w14:textId="77777777" w:rsidR="003563EF" w:rsidRPr="001278B6" w:rsidRDefault="00473235" w:rsidP="001278B6">
      <w:pPr>
        <w:keepNext/>
        <w:keepLines/>
        <w:widowControl/>
        <w:adjustRightInd w:val="0"/>
        <w:snapToGrid w:val="0"/>
        <w:rPr>
          <w:i/>
          <w:snapToGrid w:val="0"/>
          <w:lang w:val="da-DK"/>
        </w:rPr>
      </w:pPr>
      <w:r w:rsidRPr="001278B6">
        <w:rPr>
          <w:i/>
          <w:snapToGrid w:val="0"/>
          <w:lang w:val="da-DK"/>
        </w:rPr>
        <w:t>MO22224</w:t>
      </w:r>
    </w:p>
    <w:p w14:paraId="0BC38530"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 MO22224 evaluerede bevacizumabs virkning og sikkerhed i kombination med kemoterapi til platinresistent, recidiverende epitelial ovariecancer, tubacancer og primær peritonealcancer. Studiet var designet som en åben, randomiseret, 2</w:t>
      </w:r>
      <w:r w:rsidR="004B3750">
        <w:rPr>
          <w:snapToGrid w:val="0"/>
          <w:lang w:val="da-DK"/>
        </w:rPr>
        <w:noBreakHyphen/>
      </w:r>
      <w:r w:rsidRPr="001278B6">
        <w:rPr>
          <w:snapToGrid w:val="0"/>
          <w:lang w:val="da-DK"/>
        </w:rPr>
        <w:t>armet fase III</w:t>
      </w:r>
      <w:r w:rsidR="004B3750">
        <w:rPr>
          <w:snapToGrid w:val="0"/>
          <w:lang w:val="da-DK"/>
        </w:rPr>
        <w:noBreakHyphen/>
      </w:r>
      <w:r w:rsidRPr="001278B6">
        <w:rPr>
          <w:snapToGrid w:val="0"/>
          <w:lang w:val="da-DK"/>
        </w:rPr>
        <w:t xml:space="preserve">evaluering af bevacizumab plus kemoterapi </w:t>
      </w:r>
      <w:r w:rsidRPr="001278B6">
        <w:rPr>
          <w:i/>
          <w:snapToGrid w:val="0"/>
          <w:lang w:val="da-DK"/>
        </w:rPr>
        <w:t xml:space="preserve">versus </w:t>
      </w:r>
      <w:r w:rsidRPr="001278B6">
        <w:rPr>
          <w:snapToGrid w:val="0"/>
          <w:lang w:val="da-DK"/>
        </w:rPr>
        <w:t>kemoterapi alene.</w:t>
      </w:r>
    </w:p>
    <w:p w14:paraId="66D92B0C" w14:textId="77777777" w:rsidR="003563EF" w:rsidRPr="001278B6" w:rsidRDefault="003563EF" w:rsidP="001278B6">
      <w:pPr>
        <w:pStyle w:val="a3"/>
        <w:widowControl/>
        <w:adjustRightInd w:val="0"/>
        <w:snapToGrid w:val="0"/>
        <w:rPr>
          <w:snapToGrid w:val="0"/>
          <w:lang w:val="da-DK"/>
        </w:rPr>
      </w:pPr>
    </w:p>
    <w:p w14:paraId="3455566F" w14:textId="77777777" w:rsidR="003563EF" w:rsidRPr="001278B6" w:rsidRDefault="00473235" w:rsidP="00051658">
      <w:pPr>
        <w:pStyle w:val="a3"/>
        <w:keepNext/>
        <w:keepLines/>
        <w:widowControl/>
        <w:adjustRightInd w:val="0"/>
        <w:snapToGrid w:val="0"/>
        <w:rPr>
          <w:snapToGrid w:val="0"/>
          <w:lang w:val="da-DK"/>
        </w:rPr>
      </w:pPr>
      <w:r w:rsidRPr="001278B6">
        <w:rPr>
          <w:snapToGrid w:val="0"/>
          <w:lang w:val="da-DK"/>
        </w:rPr>
        <w:lastRenderedPageBreak/>
        <w:t>Studiet omfattede ialt 361 patienter, der fik kemoterapi (paclitaxel, topotecan eller pegyleret liposomal doxorubicin) alene eller i kombination med bevacizumab:</w:t>
      </w:r>
    </w:p>
    <w:p w14:paraId="48E1A974" w14:textId="77777777" w:rsidR="003563EF" w:rsidRPr="001278B6" w:rsidRDefault="003563EF" w:rsidP="00051658">
      <w:pPr>
        <w:pStyle w:val="a3"/>
        <w:keepNext/>
        <w:keepLines/>
        <w:widowControl/>
        <w:adjustRightInd w:val="0"/>
        <w:snapToGrid w:val="0"/>
        <w:rPr>
          <w:snapToGrid w:val="0"/>
          <w:lang w:val="da-DK"/>
        </w:rPr>
      </w:pPr>
    </w:p>
    <w:p w14:paraId="142EABC6" w14:textId="77777777" w:rsidR="003563EF" w:rsidRPr="001278B6" w:rsidRDefault="00473235" w:rsidP="00051658">
      <w:pPr>
        <w:pStyle w:val="Bullet1"/>
        <w:keepNext/>
        <w:keepLines/>
        <w:widowControl/>
        <w:rPr>
          <w:lang w:val="da-DK"/>
        </w:rPr>
      </w:pPr>
      <w:r w:rsidRPr="001278B6">
        <w:rPr>
          <w:lang w:val="da-DK"/>
        </w:rPr>
        <w:t>Kemoterapi</w:t>
      </w:r>
      <w:r w:rsidR="004B3750">
        <w:rPr>
          <w:lang w:val="da-DK"/>
        </w:rPr>
        <w:noBreakHyphen/>
      </w:r>
      <w:r w:rsidRPr="001278B6">
        <w:rPr>
          <w:lang w:val="da-DK"/>
        </w:rPr>
        <w:t>arm (kemoterapi alene):</w:t>
      </w:r>
    </w:p>
    <w:p w14:paraId="5D807C3B" w14:textId="77777777" w:rsidR="003563EF" w:rsidRPr="001278B6" w:rsidRDefault="00473235" w:rsidP="00051658">
      <w:pPr>
        <w:pStyle w:val="a3"/>
        <w:keepNext/>
        <w:keepLines/>
        <w:widowControl/>
        <w:numPr>
          <w:ilvl w:val="0"/>
          <w:numId w:val="16"/>
        </w:numPr>
        <w:autoSpaceDE/>
        <w:autoSpaceDN/>
        <w:adjustRightInd w:val="0"/>
        <w:snapToGrid w:val="0"/>
        <w:ind w:left="1124" w:hanging="562"/>
        <w:rPr>
          <w:rFonts w:cs="Arial"/>
          <w:color w:val="000000"/>
          <w:lang w:val="da-DK"/>
        </w:rPr>
      </w:pPr>
      <w:r w:rsidRPr="001278B6">
        <w:rPr>
          <w:rFonts w:cs="Arial"/>
          <w:color w:val="000000"/>
          <w:lang w:val="da-DK"/>
        </w:rPr>
        <w:t>Paclitaxel 80</w:t>
      </w:r>
      <w:r w:rsidR="005279CC">
        <w:rPr>
          <w:rFonts w:cs="Arial"/>
          <w:color w:val="000000"/>
          <w:lang w:val="da-DK"/>
        </w:rPr>
        <w:t> mg</w:t>
      </w:r>
      <w:r w:rsidRPr="001278B6">
        <w:rPr>
          <w:rFonts w:cs="Arial"/>
          <w:color w:val="000000"/>
          <w:lang w:val="da-DK"/>
        </w:rPr>
        <w:t>/m2 som 1</w:t>
      </w:r>
      <w:r w:rsidR="004B3750">
        <w:rPr>
          <w:rFonts w:cs="Arial"/>
          <w:color w:val="000000"/>
          <w:lang w:val="da-DK"/>
        </w:rPr>
        <w:noBreakHyphen/>
      </w:r>
      <w:r w:rsidRPr="001278B6">
        <w:rPr>
          <w:rFonts w:cs="Arial"/>
          <w:color w:val="000000"/>
          <w:lang w:val="da-DK"/>
        </w:rPr>
        <w:t>times i</w:t>
      </w:r>
      <w:r w:rsidR="00522B87">
        <w:rPr>
          <w:rFonts w:cs="Arial"/>
          <w:color w:val="000000"/>
          <w:lang w:val="da-DK"/>
        </w:rPr>
        <w:t xml:space="preserve">ntravenøs </w:t>
      </w:r>
      <w:r w:rsidRPr="001278B6">
        <w:rPr>
          <w:rFonts w:cs="Arial"/>
          <w:color w:val="000000"/>
          <w:lang w:val="da-DK"/>
        </w:rPr>
        <w:t>infusion på dag 1, 8, 15 og 22 hver 4. uge.</w:t>
      </w:r>
    </w:p>
    <w:p w14:paraId="252AD135" w14:textId="77777777" w:rsidR="003563EF" w:rsidRPr="001278B6" w:rsidRDefault="00473235" w:rsidP="001278B6">
      <w:pPr>
        <w:pStyle w:val="a3"/>
        <w:widowControl/>
        <w:numPr>
          <w:ilvl w:val="0"/>
          <w:numId w:val="16"/>
        </w:numPr>
        <w:autoSpaceDE/>
        <w:autoSpaceDN/>
        <w:adjustRightInd w:val="0"/>
        <w:snapToGrid w:val="0"/>
        <w:ind w:left="1124" w:hanging="562"/>
        <w:rPr>
          <w:rFonts w:cs="Arial"/>
          <w:color w:val="000000"/>
          <w:lang w:val="da-DK"/>
        </w:rPr>
      </w:pPr>
      <w:r w:rsidRPr="001278B6">
        <w:rPr>
          <w:rFonts w:cs="Arial"/>
          <w:color w:val="000000"/>
          <w:lang w:val="da-DK"/>
        </w:rPr>
        <w:t>Topotecan 4</w:t>
      </w:r>
      <w:r w:rsidR="005279CC">
        <w:rPr>
          <w:rFonts w:cs="Arial"/>
          <w:color w:val="000000"/>
          <w:lang w:val="da-DK"/>
        </w:rPr>
        <w:t> mg</w:t>
      </w:r>
      <w:r w:rsidRPr="001278B6">
        <w:rPr>
          <w:rFonts w:cs="Arial"/>
          <w:color w:val="000000"/>
          <w:lang w:val="da-DK"/>
        </w:rPr>
        <w:t>/m2 som 30</w:t>
      </w:r>
      <w:r w:rsidR="004B3750">
        <w:rPr>
          <w:rFonts w:cs="Arial"/>
          <w:color w:val="000000"/>
          <w:lang w:val="da-DK"/>
        </w:rPr>
        <w:noBreakHyphen/>
      </w:r>
      <w:r w:rsidRPr="001278B6">
        <w:rPr>
          <w:rFonts w:cs="Arial"/>
          <w:color w:val="000000"/>
          <w:lang w:val="da-DK"/>
        </w:rPr>
        <w:t>minutters i</w:t>
      </w:r>
      <w:r w:rsidR="00522B87">
        <w:rPr>
          <w:rFonts w:cs="Arial"/>
          <w:color w:val="000000"/>
          <w:lang w:val="da-DK"/>
        </w:rPr>
        <w:t xml:space="preserve">ntravenøs </w:t>
      </w:r>
      <w:r w:rsidRPr="001278B6">
        <w:rPr>
          <w:rFonts w:cs="Arial"/>
          <w:color w:val="000000"/>
          <w:lang w:val="da-DK"/>
        </w:rPr>
        <w:t>infusion på dag 1, 8 og 15 hver 4. uge. Alternativt kan en dosis på 1,25 mg/m2 administreres over 30 minutter på dag 1</w:t>
      </w:r>
      <w:r w:rsidR="004B3750">
        <w:rPr>
          <w:rFonts w:cs="Arial"/>
          <w:color w:val="000000"/>
          <w:lang w:val="da-DK"/>
        </w:rPr>
        <w:noBreakHyphen/>
      </w:r>
      <w:r w:rsidRPr="001278B6">
        <w:rPr>
          <w:rFonts w:cs="Arial"/>
          <w:color w:val="000000"/>
          <w:lang w:val="da-DK"/>
        </w:rPr>
        <w:t>5 hver 3.</w:t>
      </w:r>
      <w:r w:rsidR="00AE5C00" w:rsidRPr="001278B6">
        <w:rPr>
          <w:rFonts w:cs="Arial"/>
          <w:color w:val="000000"/>
          <w:lang w:val="da-DK"/>
        </w:rPr>
        <w:t> </w:t>
      </w:r>
      <w:r w:rsidRPr="001278B6">
        <w:rPr>
          <w:rFonts w:cs="Arial"/>
          <w:color w:val="000000"/>
          <w:lang w:val="da-DK"/>
        </w:rPr>
        <w:t>uge.</w:t>
      </w:r>
    </w:p>
    <w:p w14:paraId="76A895B3" w14:textId="77777777" w:rsidR="003563EF" w:rsidRPr="001278B6" w:rsidRDefault="00473235" w:rsidP="001278B6">
      <w:pPr>
        <w:pStyle w:val="a3"/>
        <w:widowControl/>
        <w:numPr>
          <w:ilvl w:val="0"/>
          <w:numId w:val="16"/>
        </w:numPr>
        <w:autoSpaceDE/>
        <w:autoSpaceDN/>
        <w:adjustRightInd w:val="0"/>
        <w:snapToGrid w:val="0"/>
        <w:ind w:left="1124" w:hanging="562"/>
        <w:rPr>
          <w:lang w:val="da-DK"/>
        </w:rPr>
      </w:pPr>
      <w:r w:rsidRPr="00515644">
        <w:rPr>
          <w:rFonts w:cs="Arial"/>
          <w:color w:val="000000"/>
          <w:lang w:val="da-DK"/>
        </w:rPr>
        <w:t>Pegyleret</w:t>
      </w:r>
      <w:r w:rsidRPr="001278B6">
        <w:rPr>
          <w:lang w:val="da-DK"/>
        </w:rPr>
        <w:t xml:space="preserve"> liposomal doxorubicin 40</w:t>
      </w:r>
      <w:r w:rsidR="005279CC">
        <w:rPr>
          <w:lang w:val="da-DK"/>
        </w:rPr>
        <w:t> mg</w:t>
      </w:r>
      <w:r w:rsidRPr="001278B6">
        <w:rPr>
          <w:lang w:val="da-DK"/>
        </w:rPr>
        <w:t>/m</w:t>
      </w:r>
      <w:r w:rsidRPr="00132F46">
        <w:rPr>
          <w:lang w:val="da-DK"/>
        </w:rPr>
        <w:t>2</w:t>
      </w:r>
      <w:r w:rsidRPr="001278B6">
        <w:rPr>
          <w:lang w:val="da-DK"/>
        </w:rPr>
        <w:t xml:space="preserve"> som 1 mg/min i</w:t>
      </w:r>
      <w:r w:rsidR="00522B87">
        <w:rPr>
          <w:lang w:val="da-DK"/>
        </w:rPr>
        <w:t xml:space="preserve">ntravenøs </w:t>
      </w:r>
      <w:r w:rsidRPr="001278B6">
        <w:rPr>
          <w:lang w:val="da-DK"/>
        </w:rPr>
        <w:t>infusion, kun på dag 1 hver 4.</w:t>
      </w:r>
      <w:r w:rsidR="00835413">
        <w:rPr>
          <w:lang w:val="da-DK"/>
        </w:rPr>
        <w:t> </w:t>
      </w:r>
      <w:r w:rsidRPr="001278B6">
        <w:rPr>
          <w:lang w:val="da-DK"/>
        </w:rPr>
        <w:t>uge. Efter første behandlingsserie kan lægemidlet gives som en 1</w:t>
      </w:r>
      <w:r w:rsidR="004B3750">
        <w:rPr>
          <w:lang w:val="da-DK"/>
        </w:rPr>
        <w:noBreakHyphen/>
      </w:r>
      <w:r w:rsidRPr="001278B6">
        <w:rPr>
          <w:lang w:val="da-DK"/>
        </w:rPr>
        <w:t>times infusion.</w:t>
      </w:r>
    </w:p>
    <w:p w14:paraId="3C83DDC0" w14:textId="77777777" w:rsidR="003563EF" w:rsidRPr="001278B6" w:rsidRDefault="00473235" w:rsidP="001278B6">
      <w:pPr>
        <w:pStyle w:val="Bullet1"/>
        <w:keepNext/>
        <w:keepLines/>
        <w:widowControl/>
        <w:rPr>
          <w:lang w:val="da-DK"/>
        </w:rPr>
      </w:pPr>
      <w:r w:rsidRPr="001278B6">
        <w:rPr>
          <w:lang w:val="da-DK"/>
        </w:rPr>
        <w:t>Kemoterapi+bevacizumab</w:t>
      </w:r>
      <w:r w:rsidR="004B3750">
        <w:rPr>
          <w:lang w:val="da-DK"/>
        </w:rPr>
        <w:noBreakHyphen/>
      </w:r>
      <w:r w:rsidRPr="001278B6">
        <w:rPr>
          <w:lang w:val="da-DK"/>
        </w:rPr>
        <w:t>armen:</w:t>
      </w:r>
    </w:p>
    <w:p w14:paraId="29DEF3FB" w14:textId="77777777" w:rsidR="003563EF" w:rsidRPr="001278B6" w:rsidRDefault="00473235" w:rsidP="001278B6">
      <w:pPr>
        <w:pStyle w:val="a3"/>
        <w:widowControl/>
        <w:numPr>
          <w:ilvl w:val="0"/>
          <w:numId w:val="16"/>
        </w:numPr>
        <w:autoSpaceDE/>
        <w:autoSpaceDN/>
        <w:adjustRightInd w:val="0"/>
        <w:snapToGrid w:val="0"/>
        <w:ind w:left="1124" w:hanging="562"/>
        <w:rPr>
          <w:lang w:val="da-DK"/>
        </w:rPr>
      </w:pPr>
      <w:r w:rsidRPr="001278B6">
        <w:rPr>
          <w:lang w:val="da-DK"/>
        </w:rPr>
        <w:t>Den valgte kemoterapi blev kombineret med bevacizumab 10</w:t>
      </w:r>
      <w:r w:rsidR="005279CC">
        <w:rPr>
          <w:lang w:val="da-DK"/>
        </w:rPr>
        <w:t> mg</w:t>
      </w:r>
      <w:r w:rsidRPr="001278B6">
        <w:rPr>
          <w:lang w:val="da-DK"/>
        </w:rPr>
        <w:t>/kg i</w:t>
      </w:r>
      <w:r w:rsidR="00522B87">
        <w:rPr>
          <w:lang w:val="da-DK"/>
        </w:rPr>
        <w:t>ntravenøst</w:t>
      </w:r>
      <w:r w:rsidRPr="001278B6">
        <w:rPr>
          <w:lang w:val="da-DK"/>
        </w:rPr>
        <w:t xml:space="preserve"> hver 2. uge (eller </w:t>
      </w:r>
      <w:r w:rsidRPr="00515644">
        <w:rPr>
          <w:rFonts w:cs="Arial"/>
          <w:color w:val="000000"/>
          <w:lang w:val="da-DK"/>
        </w:rPr>
        <w:t>bevacizumab</w:t>
      </w:r>
      <w:r w:rsidRPr="001278B6">
        <w:rPr>
          <w:lang w:val="da-DK"/>
        </w:rPr>
        <w:t xml:space="preserve"> 15</w:t>
      </w:r>
      <w:r w:rsidR="005279CC">
        <w:rPr>
          <w:lang w:val="da-DK"/>
        </w:rPr>
        <w:t> mg</w:t>
      </w:r>
      <w:r w:rsidRPr="001278B6">
        <w:rPr>
          <w:lang w:val="da-DK"/>
        </w:rPr>
        <w:t>/kg hver 3. uge, hvis det anvendes i kombination med topotecan 1,25</w:t>
      </w:r>
      <w:r w:rsidR="00835413">
        <w:rPr>
          <w:lang w:val="da-DK"/>
        </w:rPr>
        <w:t> </w:t>
      </w:r>
      <w:r w:rsidRPr="001278B6">
        <w:rPr>
          <w:lang w:val="da-DK"/>
        </w:rPr>
        <w:t>mg/m2 på dag 1</w:t>
      </w:r>
      <w:r w:rsidR="004B3750">
        <w:rPr>
          <w:lang w:val="da-DK"/>
        </w:rPr>
        <w:noBreakHyphen/>
      </w:r>
      <w:r w:rsidRPr="001278B6">
        <w:rPr>
          <w:lang w:val="da-DK"/>
        </w:rPr>
        <w:t>5 hver 3. uge).</w:t>
      </w:r>
    </w:p>
    <w:p w14:paraId="6942A6DE" w14:textId="77777777" w:rsidR="003563EF" w:rsidRPr="001278B6" w:rsidRDefault="003563EF" w:rsidP="001278B6">
      <w:pPr>
        <w:pStyle w:val="a3"/>
        <w:widowControl/>
        <w:adjustRightInd w:val="0"/>
        <w:snapToGrid w:val="0"/>
        <w:rPr>
          <w:snapToGrid w:val="0"/>
          <w:lang w:val="da-DK"/>
        </w:rPr>
      </w:pPr>
    </w:p>
    <w:p w14:paraId="3D0885D0"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inkluderede patienter med epitelial ovariecancer, tubacancer eller primær peritonealcancer, der var progredieret &lt; 6 måneder efter seneste platinbehandling, som bestod som minimum af 4 platinbehandlingsserier. Patienterne skulle have forventet levetid ≥ 12 uger og måtte ikke tidligere have fået strålebehandling af bækken eller abdomen. De fleste patienter var i FIGO</w:t>
      </w:r>
      <w:r w:rsidR="004B3750">
        <w:rPr>
          <w:snapToGrid w:val="0"/>
          <w:lang w:val="da-DK"/>
        </w:rPr>
        <w:noBreakHyphen/>
      </w:r>
      <w:r w:rsidRPr="001278B6">
        <w:rPr>
          <w:snapToGrid w:val="0"/>
          <w:lang w:val="da-DK"/>
        </w:rPr>
        <w:t>stadie IIIC eller</w:t>
      </w:r>
      <w:r w:rsidR="000110A9">
        <w:rPr>
          <w:snapToGrid w:val="0"/>
          <w:lang w:val="da-DK"/>
        </w:rPr>
        <w:t xml:space="preserve"> </w:t>
      </w:r>
      <w:r w:rsidRPr="001278B6">
        <w:rPr>
          <w:snapToGrid w:val="0"/>
          <w:lang w:val="da-DK"/>
        </w:rPr>
        <w:t>IV. Størstedelen af patienter i begge arme have ECOG</w:t>
      </w:r>
      <w:r w:rsidR="004B3750">
        <w:rPr>
          <w:snapToGrid w:val="0"/>
          <w:lang w:val="da-DK"/>
        </w:rPr>
        <w:noBreakHyphen/>
      </w:r>
      <w:r w:rsidRPr="001278B6">
        <w:rPr>
          <w:snapToGrid w:val="0"/>
          <w:lang w:val="da-DK"/>
        </w:rPr>
        <w:t xml:space="preserve">performancestatus på 0 (kemoterapi: 56,4 % </w:t>
      </w:r>
      <w:r w:rsidRPr="001278B6">
        <w:rPr>
          <w:i/>
          <w:snapToGrid w:val="0"/>
          <w:lang w:val="da-DK"/>
        </w:rPr>
        <w:t xml:space="preserve">versus </w:t>
      </w:r>
      <w:r w:rsidRPr="001278B6">
        <w:rPr>
          <w:snapToGrid w:val="0"/>
          <w:lang w:val="da-DK"/>
        </w:rPr>
        <w:t>kemoterapi + bevacizumab: 61,2 %). Procentdelen af patienter med ECOG</w:t>
      </w:r>
      <w:r w:rsidR="004B3750">
        <w:rPr>
          <w:snapToGrid w:val="0"/>
          <w:lang w:val="da-DK"/>
        </w:rPr>
        <w:noBreakHyphen/>
      </w:r>
      <w:r w:rsidRPr="001278B6">
        <w:rPr>
          <w:snapToGrid w:val="0"/>
          <w:lang w:val="da-DK"/>
        </w:rPr>
        <w:t>performancestatus 1 eller ≥ 2 var henholdsvis 38,7 % og 5,0 % i kemoterapi</w:t>
      </w:r>
      <w:r w:rsidR="004B3750">
        <w:rPr>
          <w:snapToGrid w:val="0"/>
          <w:lang w:val="da-DK"/>
        </w:rPr>
        <w:noBreakHyphen/>
      </w:r>
      <w:r w:rsidRPr="001278B6">
        <w:rPr>
          <w:snapToGrid w:val="0"/>
          <w:lang w:val="da-DK"/>
        </w:rPr>
        <w:t>armen og 29,8 % og 9,0 % i kemoterapi + bevacizumab</w:t>
      </w:r>
      <w:r w:rsidR="004B3750">
        <w:rPr>
          <w:snapToGrid w:val="0"/>
          <w:lang w:val="da-DK"/>
        </w:rPr>
        <w:noBreakHyphen/>
      </w:r>
      <w:r w:rsidRPr="001278B6">
        <w:rPr>
          <w:snapToGrid w:val="0"/>
          <w:lang w:val="da-DK"/>
        </w:rPr>
        <w:t>armen. Der foreligger information om race for 29,3 % af patienterne, og næsten alle var kaukasiere. Patienternes medianalder var 61,0 år (spændevidde 25</w:t>
      </w:r>
      <w:r w:rsidR="004B3750">
        <w:rPr>
          <w:snapToGrid w:val="0"/>
          <w:lang w:val="da-DK"/>
        </w:rPr>
        <w:noBreakHyphen/>
      </w:r>
      <w:r w:rsidRPr="001278B6">
        <w:rPr>
          <w:snapToGrid w:val="0"/>
          <w:lang w:val="da-DK"/>
        </w:rPr>
        <w:t>84). I alt 16 patienter (4,4 %) var &gt;</w:t>
      </w:r>
      <w:r w:rsidR="00AF3591">
        <w:rPr>
          <w:snapToGrid w:val="0"/>
          <w:lang w:val="da-DK"/>
        </w:rPr>
        <w:t> </w:t>
      </w:r>
      <w:r w:rsidRPr="001278B6">
        <w:rPr>
          <w:snapToGrid w:val="0"/>
          <w:lang w:val="da-DK"/>
        </w:rPr>
        <w:t>75 år. Den samlede seponeringsfrekvens på grund af bivirkninger var 8,8 % i kemoterapi</w:t>
      </w:r>
      <w:r w:rsidR="004B3750">
        <w:rPr>
          <w:snapToGrid w:val="0"/>
          <w:lang w:val="da-DK"/>
        </w:rPr>
        <w:noBreakHyphen/>
      </w:r>
      <w:r w:rsidRPr="001278B6">
        <w:rPr>
          <w:snapToGrid w:val="0"/>
          <w:lang w:val="da-DK"/>
        </w:rPr>
        <w:t>armen og 43,6 % i kemoterapi + bevacizumab</w:t>
      </w:r>
      <w:r w:rsidR="004B3750">
        <w:rPr>
          <w:snapToGrid w:val="0"/>
          <w:lang w:val="da-DK"/>
        </w:rPr>
        <w:noBreakHyphen/>
      </w:r>
      <w:r w:rsidRPr="001278B6">
        <w:rPr>
          <w:snapToGrid w:val="0"/>
          <w:lang w:val="da-DK"/>
        </w:rPr>
        <w:t>armen (hovedsagelig på grund af bivirkninger af grad 2</w:t>
      </w:r>
      <w:r w:rsidR="004B3750">
        <w:rPr>
          <w:snapToGrid w:val="0"/>
          <w:lang w:val="da-DK"/>
        </w:rPr>
        <w:noBreakHyphen/>
      </w:r>
      <w:r w:rsidRPr="001278B6">
        <w:rPr>
          <w:snapToGrid w:val="0"/>
          <w:lang w:val="da-DK"/>
        </w:rPr>
        <w:t>3). Mediantiden til seponering var 5,2 måneder i kemoterapi + bevacizumab</w:t>
      </w:r>
      <w:r w:rsidR="004B3750">
        <w:rPr>
          <w:snapToGrid w:val="0"/>
          <w:lang w:val="da-DK"/>
        </w:rPr>
        <w:noBreakHyphen/>
      </w:r>
      <w:r w:rsidRPr="001278B6">
        <w:rPr>
          <w:snapToGrid w:val="0"/>
          <w:lang w:val="da-DK"/>
        </w:rPr>
        <w:t>armen sammenlignet med 2,4 måneder i kemoterapi</w:t>
      </w:r>
      <w:r w:rsidR="004B3750">
        <w:rPr>
          <w:snapToGrid w:val="0"/>
          <w:lang w:val="da-DK"/>
        </w:rPr>
        <w:noBreakHyphen/>
      </w:r>
      <w:r w:rsidRPr="001278B6">
        <w:rPr>
          <w:snapToGrid w:val="0"/>
          <w:lang w:val="da-DK"/>
        </w:rPr>
        <w:t>armen. Seponeringsfrekvensen på grund af bivirkninger i undergruppen af patienter &lt; 65 år var 8,8 % i kemoterapi</w:t>
      </w:r>
      <w:r w:rsidR="004B3750">
        <w:rPr>
          <w:snapToGrid w:val="0"/>
          <w:lang w:val="da-DK"/>
        </w:rPr>
        <w:noBreakHyphen/>
      </w:r>
      <w:r w:rsidRPr="001278B6">
        <w:rPr>
          <w:snapToGrid w:val="0"/>
          <w:lang w:val="da-DK"/>
        </w:rPr>
        <w:t>armen og 50,0 % i kemoterapi+bevacizumab</w:t>
      </w:r>
      <w:r w:rsidR="004B3750">
        <w:rPr>
          <w:snapToGrid w:val="0"/>
          <w:lang w:val="da-DK"/>
        </w:rPr>
        <w:noBreakHyphen/>
      </w:r>
      <w:r w:rsidRPr="001278B6">
        <w:rPr>
          <w:snapToGrid w:val="0"/>
          <w:lang w:val="da-DK"/>
        </w:rPr>
        <w:t xml:space="preserve">armen. </w:t>
      </w:r>
      <w:r w:rsidRPr="001278B6">
        <w:rPr>
          <w:i/>
          <w:snapToGrid w:val="0"/>
          <w:lang w:val="da-DK"/>
        </w:rPr>
        <w:t xml:space="preserve">Hazard </w:t>
      </w:r>
      <w:r w:rsidRPr="001278B6">
        <w:rPr>
          <w:snapToGrid w:val="0"/>
          <w:lang w:val="da-DK"/>
        </w:rPr>
        <w:t xml:space="preserve">ratio for progressionsfri overlevelse var 0,47 (95 % konfidensinterval: 0,35; 0,62) og 0,45 (95 % konfidensinterval: 0,31; 0,67) for henholdsvis undergruppe </w:t>
      </w:r>
      <w:r w:rsidR="00AE5C00" w:rsidRPr="00A92059">
        <w:rPr>
          <w:rFonts w:ascii="Symbol" w:eastAsia="Symbol" w:hAnsi="Symbol" w:cs="Symbol"/>
          <w:color w:val="000000"/>
          <w:lang w:val="en-GB"/>
        </w:rPr>
        <w:sym w:font="Symbol" w:char="F03C"/>
      </w:r>
      <w:r w:rsidRPr="001278B6">
        <w:rPr>
          <w:snapToGrid w:val="0"/>
          <w:lang w:val="da-DK"/>
        </w:rPr>
        <w:t xml:space="preserve"> 65 år og </w:t>
      </w:r>
      <w:r w:rsidR="00AE5C00" w:rsidRPr="00A92059">
        <w:rPr>
          <w:rFonts w:ascii="Symbol" w:eastAsia="Symbol" w:hAnsi="Symbol" w:cs="Symbol"/>
          <w:color w:val="000000"/>
          <w:lang w:val="en-GB"/>
        </w:rPr>
        <w:sym w:font="Symbol" w:char="F0B3"/>
      </w:r>
      <w:r w:rsidRPr="001278B6">
        <w:rPr>
          <w:snapToGrid w:val="0"/>
          <w:lang w:val="da-DK"/>
        </w:rPr>
        <w:t xml:space="preserve"> 65 år.</w:t>
      </w:r>
    </w:p>
    <w:p w14:paraId="0B025D60" w14:textId="77777777" w:rsidR="003563EF" w:rsidRPr="001278B6" w:rsidRDefault="003563EF" w:rsidP="001278B6">
      <w:pPr>
        <w:pStyle w:val="a3"/>
        <w:widowControl/>
        <w:adjustRightInd w:val="0"/>
        <w:snapToGrid w:val="0"/>
        <w:rPr>
          <w:snapToGrid w:val="0"/>
          <w:lang w:val="da-DK"/>
        </w:rPr>
      </w:pPr>
    </w:p>
    <w:p w14:paraId="74C4D30F" w14:textId="3A5EFDBD" w:rsidR="003563EF" w:rsidRPr="001278B6" w:rsidRDefault="00473235" w:rsidP="001278B6">
      <w:pPr>
        <w:pStyle w:val="a3"/>
        <w:widowControl/>
        <w:adjustRightInd w:val="0"/>
        <w:snapToGrid w:val="0"/>
        <w:rPr>
          <w:snapToGrid w:val="0"/>
          <w:lang w:val="da-DK"/>
        </w:rPr>
      </w:pPr>
      <w:r w:rsidRPr="001278B6">
        <w:rPr>
          <w:snapToGrid w:val="0"/>
          <w:lang w:val="da-DK"/>
        </w:rPr>
        <w:t xml:space="preserve">Det primære endepunkt var progressionsfri overlevelse; de sekundære endepunkter omfattede objektiv responsrate og </w:t>
      </w:r>
      <w:r w:rsidR="001020B7">
        <w:rPr>
          <w:snapToGrid w:val="0"/>
          <w:lang w:val="da-DK"/>
        </w:rPr>
        <w:t>OS</w:t>
      </w:r>
      <w:r w:rsidRPr="001278B6">
        <w:rPr>
          <w:snapToGrid w:val="0"/>
          <w:lang w:val="da-DK"/>
        </w:rPr>
        <w:t>. Resultater vises i Tabel 23.</w:t>
      </w:r>
    </w:p>
    <w:p w14:paraId="3DE1E694" w14:textId="77777777" w:rsidR="0079124A" w:rsidRPr="001278B6" w:rsidRDefault="0079124A" w:rsidP="001278B6">
      <w:pPr>
        <w:widowControl/>
        <w:adjustRightInd w:val="0"/>
        <w:snapToGrid w:val="0"/>
        <w:rPr>
          <w:snapToGrid w:val="0"/>
          <w:lang w:val="da-DK"/>
        </w:rPr>
      </w:pPr>
    </w:p>
    <w:p w14:paraId="1E57869F" w14:textId="10F20459" w:rsidR="003563EF" w:rsidRPr="00E85219" w:rsidRDefault="00473235" w:rsidP="00E85219">
      <w:pPr>
        <w:ind w:left="1134" w:hanging="1134"/>
        <w:rPr>
          <w:b/>
          <w:bCs/>
          <w:snapToGrid w:val="0"/>
          <w:lang w:val="da-DK"/>
        </w:rPr>
      </w:pPr>
      <w:r w:rsidRPr="00E85219">
        <w:rPr>
          <w:b/>
          <w:bCs/>
          <w:snapToGrid w:val="0"/>
          <w:lang w:val="da-DK"/>
        </w:rPr>
        <w:t>Tabel 23</w:t>
      </w:r>
      <w:r w:rsidR="00A95F2C" w:rsidRPr="00E85219">
        <w:rPr>
          <w:b/>
          <w:bCs/>
          <w:snapToGrid w:val="0"/>
          <w:lang w:val="da-DK"/>
        </w:rPr>
        <w:t>.</w:t>
      </w:r>
      <w:r w:rsidRPr="00E85219">
        <w:rPr>
          <w:b/>
          <w:bCs/>
          <w:snapToGrid w:val="0"/>
          <w:lang w:val="da-DK"/>
        </w:rPr>
        <w:tab/>
        <w:t>Effektresultater fra Studie MO22224</w:t>
      </w:r>
    </w:p>
    <w:p w14:paraId="1ED446D9"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076"/>
        <w:gridCol w:w="2530"/>
      </w:tblGrid>
      <w:tr w:rsidR="003563EF" w:rsidRPr="005476B6" w14:paraId="59E69713" w14:textId="77777777" w:rsidTr="001278B6">
        <w:trPr>
          <w:cantSplit/>
        </w:trPr>
        <w:tc>
          <w:tcPr>
            <w:tcW w:w="9144" w:type="dxa"/>
            <w:gridSpan w:val="3"/>
          </w:tcPr>
          <w:p w14:paraId="50AEB871"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u w:val="single"/>
                <w:lang w:val="da-DK"/>
              </w:rPr>
              <w:t>Primært endepunkt</w:t>
            </w:r>
          </w:p>
        </w:tc>
      </w:tr>
      <w:tr w:rsidR="003563EF" w:rsidRPr="005476B6" w14:paraId="40C50436" w14:textId="77777777" w:rsidTr="001278B6">
        <w:trPr>
          <w:cantSplit/>
        </w:trPr>
        <w:tc>
          <w:tcPr>
            <w:tcW w:w="9144" w:type="dxa"/>
            <w:gridSpan w:val="3"/>
          </w:tcPr>
          <w:p w14:paraId="7E3E8D70"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Progressionsfri overlevelse*</w:t>
            </w:r>
          </w:p>
        </w:tc>
      </w:tr>
      <w:tr w:rsidR="003563EF" w:rsidRPr="005476B6" w14:paraId="7FBDEDEB" w14:textId="77777777" w:rsidTr="001278B6">
        <w:trPr>
          <w:cantSplit/>
        </w:trPr>
        <w:tc>
          <w:tcPr>
            <w:tcW w:w="4500" w:type="dxa"/>
          </w:tcPr>
          <w:p w14:paraId="613F75A4" w14:textId="77777777" w:rsidR="003563EF" w:rsidRPr="001278B6" w:rsidRDefault="003563EF" w:rsidP="001278B6">
            <w:pPr>
              <w:pStyle w:val="TableParagraph"/>
              <w:keepNext/>
              <w:keepLines/>
              <w:widowControl/>
              <w:adjustRightInd w:val="0"/>
              <w:snapToGrid w:val="0"/>
              <w:rPr>
                <w:snapToGrid w:val="0"/>
                <w:sz w:val="20"/>
                <w:lang w:val="da-DK"/>
              </w:rPr>
            </w:pPr>
          </w:p>
        </w:tc>
        <w:tc>
          <w:tcPr>
            <w:tcW w:w="2093" w:type="dxa"/>
          </w:tcPr>
          <w:p w14:paraId="5A90EF3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Kemoterapi</w:t>
            </w:r>
          </w:p>
          <w:p w14:paraId="0536EF2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(n=182)</w:t>
            </w:r>
          </w:p>
        </w:tc>
        <w:tc>
          <w:tcPr>
            <w:tcW w:w="2551" w:type="dxa"/>
          </w:tcPr>
          <w:p w14:paraId="27804AAF" w14:textId="69391533"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Kemoterapi + </w:t>
            </w:r>
            <w:r w:rsidR="00D0579E">
              <w:rPr>
                <w:snapToGrid w:val="0"/>
                <w:sz w:val="20"/>
                <w:lang w:val="da-DK"/>
              </w:rPr>
              <w:t>B</w:t>
            </w:r>
            <w:r w:rsidR="00D0579E" w:rsidRPr="001278B6">
              <w:rPr>
                <w:snapToGrid w:val="0"/>
                <w:sz w:val="20"/>
                <w:lang w:val="da-DK"/>
              </w:rPr>
              <w:t xml:space="preserve">evacizumab </w:t>
            </w:r>
            <w:r w:rsidRPr="001278B6">
              <w:rPr>
                <w:snapToGrid w:val="0"/>
                <w:sz w:val="20"/>
                <w:lang w:val="da-DK"/>
              </w:rPr>
              <w:t>(n=179)</w:t>
            </w:r>
          </w:p>
        </w:tc>
      </w:tr>
      <w:tr w:rsidR="003563EF" w:rsidRPr="005476B6" w14:paraId="70200344" w14:textId="77777777" w:rsidTr="001278B6">
        <w:trPr>
          <w:cantSplit/>
        </w:trPr>
        <w:tc>
          <w:tcPr>
            <w:tcW w:w="4500" w:type="dxa"/>
          </w:tcPr>
          <w:p w14:paraId="345D421D" w14:textId="77777777" w:rsidR="003563EF" w:rsidRPr="001278B6" w:rsidRDefault="007622EA" w:rsidP="001278B6">
            <w:pPr>
              <w:pStyle w:val="TableParagraph"/>
              <w:keepNext/>
              <w:keepLines/>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(måneder)</w:t>
            </w:r>
          </w:p>
        </w:tc>
        <w:tc>
          <w:tcPr>
            <w:tcW w:w="2093" w:type="dxa"/>
          </w:tcPr>
          <w:p w14:paraId="78BE222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3,4</w:t>
            </w:r>
          </w:p>
        </w:tc>
        <w:tc>
          <w:tcPr>
            <w:tcW w:w="2551" w:type="dxa"/>
          </w:tcPr>
          <w:p w14:paraId="3132422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6,7</w:t>
            </w:r>
          </w:p>
        </w:tc>
      </w:tr>
      <w:tr w:rsidR="003563EF" w:rsidRPr="005476B6" w14:paraId="678C5EC0" w14:textId="77777777" w:rsidTr="001278B6">
        <w:trPr>
          <w:cantSplit/>
        </w:trPr>
        <w:tc>
          <w:tcPr>
            <w:tcW w:w="4500" w:type="dxa"/>
          </w:tcPr>
          <w:p w14:paraId="172A3DA5" w14:textId="77777777" w:rsidR="003563EF" w:rsidRPr="001278B6" w:rsidRDefault="007622EA" w:rsidP="001278B6">
            <w:pPr>
              <w:pStyle w:val="TableParagraph"/>
              <w:keepNext/>
              <w:keepLines/>
              <w:widowControl/>
              <w:adjustRightInd w:val="0"/>
              <w:snapToGrid w:val="0"/>
              <w:rPr>
                <w:snapToGrid w:val="0"/>
                <w:sz w:val="20"/>
                <w:lang w:val="da-DK"/>
              </w:rPr>
            </w:pPr>
            <w:r w:rsidRPr="001278B6">
              <w:rPr>
                <w:i/>
                <w:snapToGrid w:val="0"/>
                <w:sz w:val="20"/>
                <w:lang w:val="da-DK"/>
              </w:rPr>
              <w:tab/>
            </w:r>
            <w:r w:rsidR="00473235" w:rsidRPr="00F466A3">
              <w:rPr>
                <w:iCs/>
                <w:snapToGrid w:val="0"/>
                <w:sz w:val="20"/>
                <w:lang w:val="da-DK"/>
              </w:rPr>
              <w:t>Hazard</w:t>
            </w:r>
            <w:r w:rsidR="00473235" w:rsidRPr="001278B6">
              <w:rPr>
                <w:i/>
                <w:snapToGrid w:val="0"/>
                <w:sz w:val="20"/>
                <w:lang w:val="da-DK"/>
              </w:rPr>
              <w:t xml:space="preserve"> </w:t>
            </w:r>
            <w:r w:rsidR="00473235" w:rsidRPr="001278B6">
              <w:rPr>
                <w:snapToGrid w:val="0"/>
                <w:sz w:val="20"/>
                <w:lang w:val="da-DK"/>
              </w:rPr>
              <w:t>ratio</w:t>
            </w:r>
            <w:r w:rsidRPr="001278B6">
              <w:rPr>
                <w:snapToGrid w:val="0"/>
                <w:sz w:val="20"/>
                <w:lang w:val="da-DK"/>
              </w:rPr>
              <w:t xml:space="preserve"> </w:t>
            </w:r>
            <w:r w:rsidR="00473235" w:rsidRPr="001278B6">
              <w:rPr>
                <w:snapToGrid w:val="0"/>
                <w:sz w:val="20"/>
                <w:lang w:val="da-DK"/>
              </w:rPr>
              <w:t>(95 % konfidensinterval)</w:t>
            </w:r>
          </w:p>
        </w:tc>
        <w:tc>
          <w:tcPr>
            <w:tcW w:w="4644" w:type="dxa"/>
            <w:gridSpan w:val="2"/>
          </w:tcPr>
          <w:p w14:paraId="4A8B92D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0,379 [0,296; 0,485]</w:t>
            </w:r>
          </w:p>
        </w:tc>
      </w:tr>
      <w:tr w:rsidR="003563EF" w:rsidRPr="005476B6" w14:paraId="7286C757" w14:textId="77777777" w:rsidTr="001278B6">
        <w:trPr>
          <w:cantSplit/>
        </w:trPr>
        <w:tc>
          <w:tcPr>
            <w:tcW w:w="4500" w:type="dxa"/>
          </w:tcPr>
          <w:p w14:paraId="0F1BCB23" w14:textId="77777777" w:rsidR="003563EF" w:rsidRPr="001278B6" w:rsidRDefault="007622EA" w:rsidP="001278B6">
            <w:pPr>
              <w:pStyle w:val="TableParagraph"/>
              <w:keepNext/>
              <w:keepLines/>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4644" w:type="dxa"/>
            <w:gridSpan w:val="2"/>
          </w:tcPr>
          <w:p w14:paraId="384CB9F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&lt;0,0001</w:t>
            </w:r>
          </w:p>
        </w:tc>
      </w:tr>
      <w:tr w:rsidR="003563EF" w:rsidRPr="005476B6" w14:paraId="335EA16F" w14:textId="77777777" w:rsidTr="001278B6">
        <w:trPr>
          <w:cantSplit/>
        </w:trPr>
        <w:tc>
          <w:tcPr>
            <w:tcW w:w="9144" w:type="dxa"/>
            <w:gridSpan w:val="3"/>
          </w:tcPr>
          <w:p w14:paraId="379A3E8E"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u w:val="single"/>
                <w:lang w:val="da-DK"/>
              </w:rPr>
              <w:t>Sekundære endepunkter</w:t>
            </w:r>
          </w:p>
        </w:tc>
      </w:tr>
      <w:tr w:rsidR="003563EF" w:rsidRPr="005476B6" w14:paraId="22136334" w14:textId="77777777" w:rsidTr="001278B6">
        <w:trPr>
          <w:cantSplit/>
        </w:trPr>
        <w:tc>
          <w:tcPr>
            <w:tcW w:w="9144" w:type="dxa"/>
            <w:gridSpan w:val="3"/>
          </w:tcPr>
          <w:p w14:paraId="5063DC9D"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Objektiv responsrate**</w:t>
            </w:r>
          </w:p>
        </w:tc>
      </w:tr>
      <w:tr w:rsidR="003563EF" w:rsidRPr="005476B6" w14:paraId="41400C15" w14:textId="77777777" w:rsidTr="001278B6">
        <w:trPr>
          <w:cantSplit/>
        </w:trPr>
        <w:tc>
          <w:tcPr>
            <w:tcW w:w="4500" w:type="dxa"/>
          </w:tcPr>
          <w:p w14:paraId="5CD19882" w14:textId="77777777" w:rsidR="003563EF" w:rsidRPr="001278B6" w:rsidRDefault="003563EF" w:rsidP="001278B6">
            <w:pPr>
              <w:pStyle w:val="TableParagraph"/>
              <w:keepNext/>
              <w:keepLines/>
              <w:widowControl/>
              <w:adjustRightInd w:val="0"/>
              <w:snapToGrid w:val="0"/>
              <w:rPr>
                <w:snapToGrid w:val="0"/>
                <w:sz w:val="20"/>
                <w:lang w:val="da-DK"/>
              </w:rPr>
            </w:pPr>
          </w:p>
        </w:tc>
        <w:tc>
          <w:tcPr>
            <w:tcW w:w="2093" w:type="dxa"/>
          </w:tcPr>
          <w:p w14:paraId="6FD48C2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Kemoterapi</w:t>
            </w:r>
          </w:p>
          <w:p w14:paraId="4812186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(n=144)</w:t>
            </w:r>
          </w:p>
        </w:tc>
        <w:tc>
          <w:tcPr>
            <w:tcW w:w="2551" w:type="dxa"/>
          </w:tcPr>
          <w:p w14:paraId="793EE5AE" w14:textId="4DEF21B0" w:rsidR="00297E43" w:rsidRDefault="00473235" w:rsidP="00297E43">
            <w:pPr>
              <w:pStyle w:val="TableParagraph"/>
              <w:widowControl/>
              <w:adjustRightInd w:val="0"/>
              <w:snapToGrid w:val="0"/>
              <w:jc w:val="center"/>
              <w:rPr>
                <w:snapToGrid w:val="0"/>
                <w:sz w:val="20"/>
                <w:lang w:val="da-DK"/>
              </w:rPr>
            </w:pPr>
            <w:r w:rsidRPr="001278B6">
              <w:rPr>
                <w:snapToGrid w:val="0"/>
                <w:sz w:val="20"/>
                <w:lang w:val="da-DK"/>
              </w:rPr>
              <w:t>Kemoterapi +</w:t>
            </w:r>
            <w:r w:rsidR="00297E43">
              <w:rPr>
                <w:snapToGrid w:val="0"/>
                <w:sz w:val="20"/>
                <w:lang w:val="da-DK"/>
              </w:rPr>
              <w:t xml:space="preserve"> </w:t>
            </w:r>
            <w:r w:rsidR="00D0579E">
              <w:rPr>
                <w:snapToGrid w:val="0"/>
                <w:sz w:val="20"/>
                <w:lang w:val="da-DK"/>
              </w:rPr>
              <w:t>B</w:t>
            </w:r>
            <w:r w:rsidR="00D0579E" w:rsidRPr="001278B6">
              <w:rPr>
                <w:snapToGrid w:val="0"/>
                <w:sz w:val="20"/>
                <w:lang w:val="da-DK"/>
              </w:rPr>
              <w:t xml:space="preserve">evacizumab </w:t>
            </w:r>
          </w:p>
          <w:p w14:paraId="7CFE423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(n=142)</w:t>
            </w:r>
          </w:p>
        </w:tc>
      </w:tr>
      <w:tr w:rsidR="003563EF" w:rsidRPr="005476B6" w14:paraId="16038DCB" w14:textId="77777777" w:rsidTr="001278B6">
        <w:trPr>
          <w:cantSplit/>
        </w:trPr>
        <w:tc>
          <w:tcPr>
            <w:tcW w:w="4500" w:type="dxa"/>
          </w:tcPr>
          <w:p w14:paraId="511C4716" w14:textId="77777777" w:rsidR="003563EF" w:rsidRPr="001278B6" w:rsidRDefault="00473235" w:rsidP="00F466A3">
            <w:pPr>
              <w:pStyle w:val="TableParagraph"/>
              <w:keepNext/>
              <w:keepLines/>
              <w:widowControl/>
              <w:adjustRightInd w:val="0"/>
              <w:snapToGrid w:val="0"/>
              <w:ind w:leftChars="250" w:left="550"/>
              <w:rPr>
                <w:snapToGrid w:val="0"/>
                <w:sz w:val="20"/>
                <w:lang w:val="da-DK"/>
              </w:rPr>
            </w:pPr>
            <w:r w:rsidRPr="001278B6">
              <w:rPr>
                <w:snapToGrid w:val="0"/>
                <w:sz w:val="20"/>
                <w:lang w:val="da-DK"/>
              </w:rPr>
              <w:t>% patienter med objektivt respons</w:t>
            </w:r>
          </w:p>
        </w:tc>
        <w:tc>
          <w:tcPr>
            <w:tcW w:w="2093" w:type="dxa"/>
          </w:tcPr>
          <w:p w14:paraId="44DFFF7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18 (12,5 %)</w:t>
            </w:r>
          </w:p>
        </w:tc>
        <w:tc>
          <w:tcPr>
            <w:tcW w:w="2551" w:type="dxa"/>
          </w:tcPr>
          <w:p w14:paraId="605773D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40 (28,2 %)</w:t>
            </w:r>
          </w:p>
        </w:tc>
      </w:tr>
      <w:tr w:rsidR="003563EF" w:rsidRPr="005476B6" w14:paraId="01354CF5" w14:textId="77777777" w:rsidTr="001278B6">
        <w:trPr>
          <w:cantSplit/>
        </w:trPr>
        <w:tc>
          <w:tcPr>
            <w:tcW w:w="4500" w:type="dxa"/>
          </w:tcPr>
          <w:p w14:paraId="21636F4D" w14:textId="77777777" w:rsidR="003563EF" w:rsidRPr="001278B6" w:rsidRDefault="007622EA" w:rsidP="001278B6">
            <w:pPr>
              <w:pStyle w:val="TableParagraph"/>
              <w:keepNext/>
              <w:keepLines/>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4644" w:type="dxa"/>
            <w:gridSpan w:val="2"/>
          </w:tcPr>
          <w:p w14:paraId="7EB1AC8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0,0007</w:t>
            </w:r>
          </w:p>
        </w:tc>
      </w:tr>
      <w:tr w:rsidR="003563EF" w:rsidRPr="005476B6" w14:paraId="342B7263" w14:textId="77777777" w:rsidTr="001278B6">
        <w:trPr>
          <w:cantSplit/>
        </w:trPr>
        <w:tc>
          <w:tcPr>
            <w:tcW w:w="4500" w:type="dxa"/>
          </w:tcPr>
          <w:p w14:paraId="74D5FB3D" w14:textId="77777777" w:rsidR="003563EF" w:rsidRPr="001278B6" w:rsidRDefault="00473235" w:rsidP="001278B6">
            <w:pPr>
              <w:pStyle w:val="TableParagraph"/>
              <w:keepNext/>
              <w:keepLines/>
              <w:widowControl/>
              <w:adjustRightInd w:val="0"/>
              <w:snapToGrid w:val="0"/>
              <w:rPr>
                <w:snapToGrid w:val="0"/>
                <w:sz w:val="20"/>
                <w:lang w:val="da-DK"/>
              </w:rPr>
            </w:pPr>
            <w:r w:rsidRPr="001278B6">
              <w:rPr>
                <w:snapToGrid w:val="0"/>
                <w:sz w:val="20"/>
                <w:lang w:val="da-DK"/>
              </w:rPr>
              <w:t>Samlet overlevelse (endelig analyse)***</w:t>
            </w:r>
          </w:p>
        </w:tc>
        <w:tc>
          <w:tcPr>
            <w:tcW w:w="4644" w:type="dxa"/>
            <w:gridSpan w:val="2"/>
          </w:tcPr>
          <w:p w14:paraId="501441C1" w14:textId="77777777" w:rsidR="003563EF" w:rsidRPr="001278B6" w:rsidRDefault="003563EF" w:rsidP="001278B6">
            <w:pPr>
              <w:pStyle w:val="TableParagraph"/>
              <w:widowControl/>
              <w:adjustRightInd w:val="0"/>
              <w:snapToGrid w:val="0"/>
              <w:rPr>
                <w:snapToGrid w:val="0"/>
                <w:sz w:val="20"/>
                <w:lang w:val="da-DK"/>
              </w:rPr>
            </w:pPr>
          </w:p>
        </w:tc>
      </w:tr>
      <w:tr w:rsidR="003563EF" w:rsidRPr="005476B6" w14:paraId="265D8E54" w14:textId="77777777" w:rsidTr="001278B6">
        <w:trPr>
          <w:cantSplit/>
        </w:trPr>
        <w:tc>
          <w:tcPr>
            <w:tcW w:w="4500" w:type="dxa"/>
          </w:tcPr>
          <w:p w14:paraId="01D021AD" w14:textId="77777777" w:rsidR="003563EF" w:rsidRPr="001278B6" w:rsidRDefault="003563EF" w:rsidP="001278B6">
            <w:pPr>
              <w:pStyle w:val="TableParagraph"/>
              <w:keepNext/>
              <w:keepLines/>
              <w:widowControl/>
              <w:adjustRightInd w:val="0"/>
              <w:snapToGrid w:val="0"/>
              <w:rPr>
                <w:snapToGrid w:val="0"/>
                <w:sz w:val="20"/>
                <w:lang w:val="da-DK"/>
              </w:rPr>
            </w:pPr>
          </w:p>
        </w:tc>
        <w:tc>
          <w:tcPr>
            <w:tcW w:w="2093" w:type="dxa"/>
          </w:tcPr>
          <w:p w14:paraId="28A897EE"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Kemoterapi</w:t>
            </w:r>
          </w:p>
          <w:p w14:paraId="66D95423"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(n=182)</w:t>
            </w:r>
          </w:p>
        </w:tc>
        <w:tc>
          <w:tcPr>
            <w:tcW w:w="2551" w:type="dxa"/>
          </w:tcPr>
          <w:p w14:paraId="3A7DA8EB" w14:textId="69EC46CF" w:rsidR="00297E43" w:rsidRDefault="00473235" w:rsidP="00351145">
            <w:pPr>
              <w:pStyle w:val="TableParagraph"/>
              <w:keepNext/>
              <w:keepLines/>
              <w:widowControl/>
              <w:adjustRightInd w:val="0"/>
              <w:snapToGrid w:val="0"/>
              <w:jc w:val="center"/>
              <w:rPr>
                <w:snapToGrid w:val="0"/>
                <w:sz w:val="20"/>
                <w:lang w:val="da-DK"/>
              </w:rPr>
            </w:pPr>
            <w:r w:rsidRPr="001278B6">
              <w:rPr>
                <w:snapToGrid w:val="0"/>
                <w:sz w:val="20"/>
                <w:lang w:val="da-DK"/>
              </w:rPr>
              <w:t xml:space="preserve">Kemoterapi + </w:t>
            </w:r>
            <w:r w:rsidR="00D0579E">
              <w:rPr>
                <w:snapToGrid w:val="0"/>
                <w:sz w:val="20"/>
                <w:lang w:val="da-DK"/>
              </w:rPr>
              <w:t>B</w:t>
            </w:r>
            <w:r w:rsidR="00D0579E" w:rsidRPr="001278B6">
              <w:rPr>
                <w:snapToGrid w:val="0"/>
                <w:sz w:val="20"/>
                <w:lang w:val="da-DK"/>
              </w:rPr>
              <w:t xml:space="preserve">evacizumab </w:t>
            </w:r>
          </w:p>
          <w:p w14:paraId="01C60FE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(n=179)</w:t>
            </w:r>
          </w:p>
        </w:tc>
      </w:tr>
      <w:tr w:rsidR="003563EF" w:rsidRPr="005476B6" w14:paraId="01E467E8" w14:textId="77777777" w:rsidTr="001278B6">
        <w:trPr>
          <w:cantSplit/>
        </w:trPr>
        <w:tc>
          <w:tcPr>
            <w:tcW w:w="4500" w:type="dxa"/>
          </w:tcPr>
          <w:p w14:paraId="6E29EBD4" w14:textId="77777777" w:rsidR="003563EF" w:rsidRPr="001278B6" w:rsidRDefault="007622EA" w:rsidP="001278B6">
            <w:pPr>
              <w:pStyle w:val="TableParagraph"/>
              <w:keepNext/>
              <w:keepLines/>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Median OS (måneder)</w:t>
            </w:r>
          </w:p>
        </w:tc>
        <w:tc>
          <w:tcPr>
            <w:tcW w:w="2093" w:type="dxa"/>
          </w:tcPr>
          <w:p w14:paraId="59492783"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13,3</w:t>
            </w:r>
          </w:p>
        </w:tc>
        <w:tc>
          <w:tcPr>
            <w:tcW w:w="2551" w:type="dxa"/>
          </w:tcPr>
          <w:p w14:paraId="667DC466"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16,6</w:t>
            </w:r>
          </w:p>
        </w:tc>
      </w:tr>
      <w:tr w:rsidR="003563EF" w:rsidRPr="005476B6" w14:paraId="0AF00B1B" w14:textId="77777777" w:rsidTr="001278B6">
        <w:trPr>
          <w:cantSplit/>
        </w:trPr>
        <w:tc>
          <w:tcPr>
            <w:tcW w:w="4500" w:type="dxa"/>
          </w:tcPr>
          <w:p w14:paraId="3272E382" w14:textId="77777777" w:rsidR="003563EF" w:rsidRPr="001278B6" w:rsidRDefault="007622EA" w:rsidP="001278B6">
            <w:pPr>
              <w:pStyle w:val="TableParagraph"/>
              <w:keepNext/>
              <w:keepLines/>
              <w:widowControl/>
              <w:adjustRightInd w:val="0"/>
              <w:snapToGrid w:val="0"/>
              <w:rPr>
                <w:i/>
                <w:snapToGrid w:val="0"/>
                <w:sz w:val="20"/>
                <w:lang w:val="da-DK"/>
              </w:rPr>
            </w:pPr>
            <w:r w:rsidRPr="001278B6">
              <w:rPr>
                <w:i/>
                <w:snapToGrid w:val="0"/>
                <w:sz w:val="20"/>
                <w:lang w:val="da-DK"/>
              </w:rPr>
              <w:tab/>
            </w:r>
            <w:r w:rsidR="00473235" w:rsidRPr="00F466A3">
              <w:rPr>
                <w:iCs/>
                <w:snapToGrid w:val="0"/>
                <w:sz w:val="20"/>
                <w:lang w:val="da-DK"/>
              </w:rPr>
              <w:t>Hazard ratio</w:t>
            </w:r>
            <w:r w:rsidRPr="001278B6">
              <w:rPr>
                <w:i/>
                <w:snapToGrid w:val="0"/>
                <w:sz w:val="20"/>
                <w:lang w:val="da-DK"/>
              </w:rPr>
              <w:t xml:space="preserve"> </w:t>
            </w:r>
            <w:r w:rsidR="00473235" w:rsidRPr="001278B6">
              <w:rPr>
                <w:snapToGrid w:val="0"/>
                <w:sz w:val="20"/>
                <w:lang w:val="da-DK"/>
              </w:rPr>
              <w:t>(95 % konfidensinterval)</w:t>
            </w:r>
          </w:p>
        </w:tc>
        <w:tc>
          <w:tcPr>
            <w:tcW w:w="4644" w:type="dxa"/>
            <w:gridSpan w:val="2"/>
          </w:tcPr>
          <w:p w14:paraId="7C8EBCDB"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0,870 [0,678; 1,116]</w:t>
            </w:r>
          </w:p>
        </w:tc>
      </w:tr>
      <w:tr w:rsidR="003563EF" w:rsidRPr="005476B6" w14:paraId="7729F9B3" w14:textId="77777777" w:rsidTr="001278B6">
        <w:trPr>
          <w:cantSplit/>
        </w:trPr>
        <w:tc>
          <w:tcPr>
            <w:tcW w:w="4500" w:type="dxa"/>
          </w:tcPr>
          <w:p w14:paraId="35E6D3DD" w14:textId="77777777" w:rsidR="003563EF" w:rsidRPr="001278B6" w:rsidRDefault="007622EA" w:rsidP="001278B6">
            <w:pPr>
              <w:pStyle w:val="TableParagraph"/>
              <w:widowControl/>
              <w:adjustRightInd w:val="0"/>
              <w:snapToGrid w:val="0"/>
              <w:rPr>
                <w:snapToGrid w:val="0"/>
                <w:sz w:val="20"/>
                <w:lang w:val="da-DK"/>
              </w:rPr>
            </w:pPr>
            <w:r w:rsidRPr="001278B6">
              <w:rPr>
                <w:snapToGrid w:val="0"/>
                <w:sz w:val="20"/>
                <w:lang w:val="da-DK"/>
              </w:rPr>
              <w:tab/>
            </w:r>
            <w:r w:rsidR="00473235" w:rsidRPr="001278B6">
              <w:rPr>
                <w:snapToGrid w:val="0"/>
                <w:sz w:val="20"/>
                <w:lang w:val="da-DK"/>
              </w:rPr>
              <w:t>p</w:t>
            </w:r>
            <w:r w:rsidR="004B3750">
              <w:rPr>
                <w:snapToGrid w:val="0"/>
                <w:sz w:val="20"/>
                <w:lang w:val="da-DK"/>
              </w:rPr>
              <w:noBreakHyphen/>
            </w:r>
            <w:r w:rsidR="00473235" w:rsidRPr="001278B6">
              <w:rPr>
                <w:snapToGrid w:val="0"/>
                <w:sz w:val="20"/>
                <w:lang w:val="da-DK"/>
              </w:rPr>
              <w:t>værdi</w:t>
            </w:r>
          </w:p>
        </w:tc>
        <w:tc>
          <w:tcPr>
            <w:tcW w:w="4644" w:type="dxa"/>
            <w:gridSpan w:val="2"/>
          </w:tcPr>
          <w:p w14:paraId="735AA2F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0,2711</w:t>
            </w:r>
          </w:p>
        </w:tc>
      </w:tr>
    </w:tbl>
    <w:p w14:paraId="205D3580"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Alle analyser i tabellen er stratificerede.</w:t>
      </w:r>
    </w:p>
    <w:p w14:paraId="32DA3183"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lastRenderedPageBreak/>
        <w:t>*Skæringsdato for den primære analyse var 14. november 2011.</w:t>
      </w:r>
    </w:p>
    <w:p w14:paraId="77AA4966"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 xml:space="preserve">**Randomiserede patienter med målbar sygdom ved </w:t>
      </w:r>
      <w:r w:rsidRPr="001278B6">
        <w:rPr>
          <w:i/>
          <w:snapToGrid w:val="0"/>
          <w:sz w:val="18"/>
          <w:szCs w:val="18"/>
          <w:lang w:val="da-DK"/>
        </w:rPr>
        <w:t>baseline</w:t>
      </w:r>
      <w:r w:rsidRPr="001278B6">
        <w:rPr>
          <w:snapToGrid w:val="0"/>
          <w:sz w:val="18"/>
          <w:szCs w:val="18"/>
          <w:lang w:val="da-DK"/>
        </w:rPr>
        <w:t>.</w:t>
      </w:r>
    </w:p>
    <w:p w14:paraId="5ACED3F3" w14:textId="2865664A" w:rsidR="003563EF" w:rsidRPr="001278B6" w:rsidRDefault="00473235" w:rsidP="001278B6">
      <w:pPr>
        <w:widowControl/>
        <w:adjustRightInd w:val="0"/>
        <w:snapToGrid w:val="0"/>
        <w:rPr>
          <w:snapToGrid w:val="0"/>
          <w:sz w:val="18"/>
          <w:szCs w:val="18"/>
          <w:lang w:val="da-DK"/>
        </w:rPr>
      </w:pPr>
      <w:r w:rsidRPr="001278B6">
        <w:rPr>
          <w:snapToGrid w:val="0"/>
          <w:sz w:val="18"/>
          <w:szCs w:val="18"/>
          <w:lang w:val="da-DK"/>
        </w:rPr>
        <w:t xml:space="preserve">***Den endelige analyse af </w:t>
      </w:r>
      <w:r w:rsidR="001020B7">
        <w:rPr>
          <w:snapToGrid w:val="0"/>
          <w:sz w:val="18"/>
          <w:szCs w:val="18"/>
          <w:lang w:val="da-DK"/>
        </w:rPr>
        <w:t>OS</w:t>
      </w:r>
      <w:r w:rsidRPr="001278B6">
        <w:rPr>
          <w:snapToGrid w:val="0"/>
          <w:sz w:val="18"/>
          <w:szCs w:val="18"/>
          <w:lang w:val="da-DK"/>
        </w:rPr>
        <w:t xml:space="preserve"> er udført efter registrering af 266 dødsfald, hvilket udgør 73,7 % af de inkluderede patienter.</w:t>
      </w:r>
    </w:p>
    <w:p w14:paraId="4BA601E5" w14:textId="77777777" w:rsidR="003563EF" w:rsidRPr="001278B6" w:rsidRDefault="003563EF" w:rsidP="001278B6">
      <w:pPr>
        <w:pStyle w:val="a3"/>
        <w:widowControl/>
        <w:adjustRightInd w:val="0"/>
        <w:snapToGrid w:val="0"/>
        <w:rPr>
          <w:snapToGrid w:val="0"/>
          <w:lang w:val="da-DK"/>
        </w:rPr>
      </w:pPr>
    </w:p>
    <w:p w14:paraId="3AA38842"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opfyldte det primære mål, som var forbedret PFS. Sammenlignet med patienter behandlet med kemoterapi (paclitaxel, topotecan eller pegyleret liposomal doxorubicin) alene ved recidiverende platin</w:t>
      </w:r>
      <w:r w:rsidR="004B3750">
        <w:rPr>
          <w:snapToGrid w:val="0"/>
          <w:lang w:val="da-DK"/>
        </w:rPr>
        <w:noBreakHyphen/>
      </w:r>
      <w:r w:rsidRPr="001278B6">
        <w:rPr>
          <w:snapToGrid w:val="0"/>
          <w:lang w:val="da-DK"/>
        </w:rPr>
        <w:t>resistent sygdom havde patienter behandlet med bevacizumab i en dosis på 10</w:t>
      </w:r>
      <w:r w:rsidR="00320777">
        <w:rPr>
          <w:snapToGrid w:val="0"/>
          <w:lang w:val="da-DK"/>
        </w:rPr>
        <w:t> mg</w:t>
      </w:r>
      <w:r w:rsidRPr="001278B6">
        <w:rPr>
          <w:snapToGrid w:val="0"/>
          <w:lang w:val="da-DK"/>
        </w:rPr>
        <w:t>/kg hver 2.</w:t>
      </w:r>
      <w:r w:rsidR="00297E43">
        <w:rPr>
          <w:snapToGrid w:val="0"/>
          <w:lang w:val="da-DK"/>
        </w:rPr>
        <w:t> </w:t>
      </w:r>
      <w:r w:rsidRPr="001278B6">
        <w:rPr>
          <w:snapToGrid w:val="0"/>
          <w:lang w:val="da-DK"/>
        </w:rPr>
        <w:t>uge (eller 15</w:t>
      </w:r>
      <w:r w:rsidR="00320777">
        <w:rPr>
          <w:snapToGrid w:val="0"/>
          <w:lang w:val="da-DK"/>
        </w:rPr>
        <w:t> mg</w:t>
      </w:r>
      <w:r w:rsidRPr="001278B6">
        <w:rPr>
          <w:snapToGrid w:val="0"/>
          <w:lang w:val="da-DK"/>
        </w:rPr>
        <w:t>/kg hver 3. uge, hvis anvendt i kombination med 1,25</w:t>
      </w:r>
      <w:r w:rsidR="00320777">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topotecan på dag 1</w:t>
      </w:r>
      <w:r w:rsidR="004B3750">
        <w:rPr>
          <w:snapToGrid w:val="0"/>
          <w:lang w:val="da-DK"/>
        </w:rPr>
        <w:noBreakHyphen/>
      </w:r>
      <w:r w:rsidRPr="001278B6">
        <w:rPr>
          <w:snapToGrid w:val="0"/>
          <w:lang w:val="da-DK"/>
        </w:rPr>
        <w:t>5 hver 3. uge) i kombination med kemoterapi, og som fortsatte behandling med bevacizumab indtil sygdomsprogression eller uacceptabel toksicitet, statistisk signifikant forbedring i PFS.</w:t>
      </w:r>
    </w:p>
    <w:p w14:paraId="2EAF0C31" w14:textId="77777777" w:rsidR="003563EF" w:rsidRPr="001278B6" w:rsidRDefault="003563EF" w:rsidP="001278B6">
      <w:pPr>
        <w:pStyle w:val="a3"/>
        <w:widowControl/>
        <w:adjustRightInd w:val="0"/>
        <w:snapToGrid w:val="0"/>
        <w:rPr>
          <w:snapToGrid w:val="0"/>
          <w:lang w:val="da-DK"/>
        </w:rPr>
      </w:pPr>
    </w:p>
    <w:p w14:paraId="0C7380D5" w14:textId="77777777" w:rsidR="003563EF" w:rsidRPr="001278B6" w:rsidRDefault="00473235" w:rsidP="001278B6">
      <w:pPr>
        <w:pStyle w:val="a3"/>
        <w:widowControl/>
        <w:adjustRightInd w:val="0"/>
        <w:snapToGrid w:val="0"/>
        <w:rPr>
          <w:snapToGrid w:val="0"/>
          <w:lang w:val="da-DK"/>
        </w:rPr>
      </w:pPr>
      <w:r w:rsidRPr="001278B6">
        <w:rPr>
          <w:snapToGrid w:val="0"/>
          <w:lang w:val="da-DK"/>
        </w:rPr>
        <w:t>De eksploratoriske PFS</w:t>
      </w:r>
      <w:r w:rsidR="004B3750">
        <w:rPr>
          <w:snapToGrid w:val="0"/>
          <w:lang w:val="da-DK"/>
        </w:rPr>
        <w:noBreakHyphen/>
      </w:r>
      <w:r w:rsidRPr="001278B6">
        <w:rPr>
          <w:snapToGrid w:val="0"/>
          <w:lang w:val="da-DK"/>
        </w:rPr>
        <w:t xml:space="preserve"> og OS</w:t>
      </w:r>
      <w:r w:rsidR="004B3750">
        <w:rPr>
          <w:snapToGrid w:val="0"/>
          <w:lang w:val="da-DK"/>
        </w:rPr>
        <w:noBreakHyphen/>
      </w:r>
      <w:r w:rsidRPr="001278B6">
        <w:rPr>
          <w:snapToGrid w:val="0"/>
          <w:lang w:val="da-DK"/>
        </w:rPr>
        <w:t>analyser af kemoterapi</w:t>
      </w:r>
      <w:r w:rsidR="004B3750">
        <w:rPr>
          <w:snapToGrid w:val="0"/>
          <w:lang w:val="da-DK"/>
        </w:rPr>
        <w:noBreakHyphen/>
      </w:r>
      <w:r w:rsidRPr="001278B6">
        <w:rPr>
          <w:snapToGrid w:val="0"/>
          <w:lang w:val="da-DK"/>
        </w:rPr>
        <w:t>kohorten (paclitaxel, topotecan og pegyleret liposomal doxorubicin) vises i tabel 24.</w:t>
      </w:r>
    </w:p>
    <w:p w14:paraId="4622145D" w14:textId="77777777" w:rsidR="0079124A" w:rsidRPr="001278B6" w:rsidRDefault="0079124A" w:rsidP="001278B6">
      <w:pPr>
        <w:widowControl/>
        <w:adjustRightInd w:val="0"/>
        <w:snapToGrid w:val="0"/>
        <w:rPr>
          <w:snapToGrid w:val="0"/>
          <w:lang w:val="da-DK"/>
        </w:rPr>
      </w:pPr>
    </w:p>
    <w:p w14:paraId="24741B57" w14:textId="3CE4339B" w:rsidR="003563EF" w:rsidRPr="00E85219" w:rsidRDefault="00473235" w:rsidP="00E85219">
      <w:pPr>
        <w:ind w:left="1134" w:hanging="1134"/>
        <w:rPr>
          <w:b/>
          <w:bCs/>
          <w:snapToGrid w:val="0"/>
          <w:lang w:val="da-DK"/>
        </w:rPr>
      </w:pPr>
      <w:r w:rsidRPr="00E85219">
        <w:rPr>
          <w:b/>
          <w:bCs/>
          <w:snapToGrid w:val="0"/>
          <w:lang w:val="da-DK"/>
        </w:rPr>
        <w:t>Tabel 24</w:t>
      </w:r>
      <w:r w:rsidR="00A95F2C" w:rsidRPr="00E85219">
        <w:rPr>
          <w:b/>
          <w:bCs/>
          <w:snapToGrid w:val="0"/>
          <w:lang w:val="da-DK"/>
        </w:rPr>
        <w:t xml:space="preserve">. </w:t>
      </w:r>
      <w:r w:rsidR="0092341E" w:rsidRPr="00E85219">
        <w:rPr>
          <w:b/>
          <w:bCs/>
          <w:snapToGrid w:val="0"/>
          <w:lang w:val="da-DK"/>
        </w:rPr>
        <w:tab/>
      </w:r>
      <w:r w:rsidRPr="00E85219">
        <w:rPr>
          <w:b/>
          <w:bCs/>
          <w:snapToGrid w:val="0"/>
          <w:lang w:val="da-DK"/>
        </w:rPr>
        <w:t>Eksploratoriske PFS</w:t>
      </w:r>
      <w:r w:rsidR="004B3750" w:rsidRPr="00E85219">
        <w:rPr>
          <w:b/>
          <w:bCs/>
          <w:snapToGrid w:val="0"/>
          <w:lang w:val="da-DK"/>
        </w:rPr>
        <w:noBreakHyphen/>
      </w:r>
      <w:r w:rsidRPr="00E85219">
        <w:rPr>
          <w:b/>
          <w:bCs/>
          <w:snapToGrid w:val="0"/>
          <w:lang w:val="da-DK"/>
        </w:rPr>
        <w:t xml:space="preserve"> og OS</w:t>
      </w:r>
      <w:r w:rsidR="004B3750" w:rsidRPr="00E85219">
        <w:rPr>
          <w:b/>
          <w:bCs/>
          <w:snapToGrid w:val="0"/>
          <w:lang w:val="da-DK"/>
        </w:rPr>
        <w:noBreakHyphen/>
      </w:r>
      <w:r w:rsidRPr="00E85219">
        <w:rPr>
          <w:b/>
          <w:bCs/>
          <w:snapToGrid w:val="0"/>
          <w:lang w:val="da-DK"/>
        </w:rPr>
        <w:t>analyser af kemoterapi</w:t>
      </w:r>
      <w:r w:rsidR="004B3750" w:rsidRPr="00E85219">
        <w:rPr>
          <w:b/>
          <w:bCs/>
          <w:snapToGrid w:val="0"/>
          <w:lang w:val="da-DK"/>
        </w:rPr>
        <w:noBreakHyphen/>
      </w:r>
      <w:r w:rsidRPr="00E85219">
        <w:rPr>
          <w:b/>
          <w:bCs/>
          <w:snapToGrid w:val="0"/>
          <w:lang w:val="da-DK"/>
        </w:rPr>
        <w:t>kohorten</w:t>
      </w:r>
    </w:p>
    <w:p w14:paraId="15498D22" w14:textId="77777777" w:rsidR="003563EF" w:rsidRPr="001278B6" w:rsidRDefault="003563EF" w:rsidP="001278B6">
      <w:pPr>
        <w:pStyle w:val="a3"/>
        <w:keepNext/>
        <w:keepLines/>
        <w:widowControl/>
        <w:adjustRightInd w:val="0"/>
        <w:snapToGrid w:val="0"/>
        <w:rPr>
          <w:b/>
          <w:snapToGrid w:val="0"/>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3018"/>
        <w:gridCol w:w="2881"/>
      </w:tblGrid>
      <w:tr w:rsidR="003563EF" w:rsidRPr="005476B6" w14:paraId="7AA7E601" w14:textId="77777777" w:rsidTr="001278B6">
        <w:trPr>
          <w:cantSplit/>
        </w:trPr>
        <w:tc>
          <w:tcPr>
            <w:tcW w:w="3246" w:type="dxa"/>
          </w:tcPr>
          <w:p w14:paraId="41B8117E" w14:textId="77777777" w:rsidR="003563EF" w:rsidRPr="001278B6" w:rsidRDefault="003563EF" w:rsidP="001278B6">
            <w:pPr>
              <w:pStyle w:val="TableParagraph"/>
              <w:keepNext/>
              <w:keepLines/>
              <w:widowControl/>
              <w:adjustRightInd w:val="0"/>
              <w:snapToGrid w:val="0"/>
              <w:jc w:val="center"/>
              <w:rPr>
                <w:snapToGrid w:val="0"/>
                <w:sz w:val="20"/>
                <w:lang w:val="da-DK"/>
              </w:rPr>
            </w:pPr>
          </w:p>
        </w:tc>
        <w:tc>
          <w:tcPr>
            <w:tcW w:w="3093" w:type="dxa"/>
          </w:tcPr>
          <w:p w14:paraId="4D83D4D5"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Kemoterapi</w:t>
            </w:r>
          </w:p>
        </w:tc>
        <w:tc>
          <w:tcPr>
            <w:tcW w:w="2953" w:type="dxa"/>
          </w:tcPr>
          <w:p w14:paraId="5588C2D9" w14:textId="5511FEB9"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Kemoterapi+</w:t>
            </w:r>
            <w:r w:rsidR="004751F2">
              <w:rPr>
                <w:snapToGrid w:val="0"/>
                <w:sz w:val="20"/>
                <w:lang w:val="da-DK"/>
              </w:rPr>
              <w:t>B</w:t>
            </w:r>
            <w:r w:rsidRPr="001278B6">
              <w:rPr>
                <w:snapToGrid w:val="0"/>
                <w:sz w:val="20"/>
                <w:lang w:val="da-DK"/>
              </w:rPr>
              <w:t>evacizumab</w:t>
            </w:r>
          </w:p>
        </w:tc>
      </w:tr>
      <w:tr w:rsidR="003563EF" w:rsidRPr="005476B6" w14:paraId="4D8E9B0D" w14:textId="77777777" w:rsidTr="001278B6">
        <w:trPr>
          <w:cantSplit/>
        </w:trPr>
        <w:tc>
          <w:tcPr>
            <w:tcW w:w="3246" w:type="dxa"/>
          </w:tcPr>
          <w:p w14:paraId="162FB924"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Paclitaxel</w:t>
            </w:r>
          </w:p>
        </w:tc>
        <w:tc>
          <w:tcPr>
            <w:tcW w:w="6046" w:type="dxa"/>
            <w:gridSpan w:val="2"/>
          </w:tcPr>
          <w:p w14:paraId="3FDE4876"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n=115</w:t>
            </w:r>
          </w:p>
        </w:tc>
      </w:tr>
      <w:tr w:rsidR="003563EF" w:rsidRPr="005476B6" w14:paraId="487843E7" w14:textId="77777777" w:rsidTr="001278B6">
        <w:trPr>
          <w:cantSplit/>
        </w:trPr>
        <w:tc>
          <w:tcPr>
            <w:tcW w:w="3246" w:type="dxa"/>
          </w:tcPr>
          <w:p w14:paraId="72DF26C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Median PFS (måneder)</w:t>
            </w:r>
          </w:p>
        </w:tc>
        <w:tc>
          <w:tcPr>
            <w:tcW w:w="3093" w:type="dxa"/>
          </w:tcPr>
          <w:p w14:paraId="75E0619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3,9</w:t>
            </w:r>
          </w:p>
        </w:tc>
        <w:tc>
          <w:tcPr>
            <w:tcW w:w="2953" w:type="dxa"/>
          </w:tcPr>
          <w:p w14:paraId="3C0C8C8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9,2</w:t>
            </w:r>
          </w:p>
        </w:tc>
      </w:tr>
      <w:tr w:rsidR="003563EF" w:rsidRPr="005476B6" w14:paraId="5D46A0AE" w14:textId="77777777" w:rsidTr="001278B6">
        <w:trPr>
          <w:cantSplit/>
        </w:trPr>
        <w:tc>
          <w:tcPr>
            <w:tcW w:w="3246" w:type="dxa"/>
          </w:tcPr>
          <w:p w14:paraId="48D1D07B" w14:textId="77777777" w:rsidR="003563EF" w:rsidRPr="001278B6" w:rsidRDefault="00473235" w:rsidP="001278B6">
            <w:pPr>
              <w:pStyle w:val="TableParagraph"/>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 konfidensinterval)</w:t>
            </w:r>
          </w:p>
        </w:tc>
        <w:tc>
          <w:tcPr>
            <w:tcW w:w="6046" w:type="dxa"/>
            <w:gridSpan w:val="2"/>
          </w:tcPr>
          <w:p w14:paraId="3437D72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0,47 [0,31; 0,72]</w:t>
            </w:r>
          </w:p>
        </w:tc>
      </w:tr>
      <w:tr w:rsidR="003563EF" w:rsidRPr="005476B6" w14:paraId="51FADC8F" w14:textId="77777777" w:rsidTr="001278B6">
        <w:trPr>
          <w:cantSplit/>
        </w:trPr>
        <w:tc>
          <w:tcPr>
            <w:tcW w:w="3246" w:type="dxa"/>
          </w:tcPr>
          <w:p w14:paraId="798F0A0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Median OS (måneder)</w:t>
            </w:r>
          </w:p>
        </w:tc>
        <w:tc>
          <w:tcPr>
            <w:tcW w:w="3093" w:type="dxa"/>
          </w:tcPr>
          <w:p w14:paraId="7F818290"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13,2</w:t>
            </w:r>
          </w:p>
        </w:tc>
        <w:tc>
          <w:tcPr>
            <w:tcW w:w="2953" w:type="dxa"/>
          </w:tcPr>
          <w:p w14:paraId="267AD99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22,4</w:t>
            </w:r>
          </w:p>
        </w:tc>
      </w:tr>
      <w:tr w:rsidR="001050E6" w:rsidRPr="005476B6" w14:paraId="3E76D747" w14:textId="77777777" w:rsidTr="001278B6">
        <w:trPr>
          <w:cantSplit/>
        </w:trPr>
        <w:tc>
          <w:tcPr>
            <w:tcW w:w="3246" w:type="dxa"/>
          </w:tcPr>
          <w:p w14:paraId="1FEC3E35" w14:textId="77777777" w:rsidR="001050E6" w:rsidRPr="001278B6" w:rsidRDefault="001050E6" w:rsidP="001278B6">
            <w:pPr>
              <w:pStyle w:val="TableParagraph"/>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w:t>
            </w:r>
            <w:r w:rsidR="00D125CB">
              <w:rPr>
                <w:snapToGrid w:val="0"/>
                <w:sz w:val="20"/>
                <w:lang w:val="da-DK"/>
              </w:rPr>
              <w:t xml:space="preserve"> </w:t>
            </w:r>
            <w:r w:rsidRPr="001278B6">
              <w:rPr>
                <w:snapToGrid w:val="0"/>
                <w:sz w:val="20"/>
                <w:lang w:val="da-DK"/>
              </w:rPr>
              <w:t>konfidensinterval)</w:t>
            </w:r>
          </w:p>
        </w:tc>
        <w:tc>
          <w:tcPr>
            <w:tcW w:w="6046" w:type="dxa"/>
            <w:gridSpan w:val="2"/>
          </w:tcPr>
          <w:p w14:paraId="451B2C14"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0,64 [0,41; 0,99]</w:t>
            </w:r>
          </w:p>
        </w:tc>
      </w:tr>
      <w:tr w:rsidR="001050E6" w:rsidRPr="005476B6" w14:paraId="2DE29329" w14:textId="77777777" w:rsidTr="001278B6">
        <w:trPr>
          <w:cantSplit/>
        </w:trPr>
        <w:tc>
          <w:tcPr>
            <w:tcW w:w="3246" w:type="dxa"/>
          </w:tcPr>
          <w:p w14:paraId="702D9ABA" w14:textId="77777777" w:rsidR="001050E6" w:rsidRPr="001278B6" w:rsidRDefault="001050E6" w:rsidP="001278B6">
            <w:pPr>
              <w:pStyle w:val="TableParagraph"/>
              <w:keepNext/>
              <w:keepLines/>
              <w:widowControl/>
              <w:adjustRightInd w:val="0"/>
              <w:snapToGrid w:val="0"/>
              <w:jc w:val="center"/>
              <w:rPr>
                <w:snapToGrid w:val="0"/>
                <w:sz w:val="20"/>
                <w:lang w:val="da-DK"/>
              </w:rPr>
            </w:pPr>
            <w:r w:rsidRPr="001278B6">
              <w:rPr>
                <w:b/>
                <w:snapToGrid w:val="0"/>
                <w:sz w:val="20"/>
                <w:lang w:val="da-DK"/>
              </w:rPr>
              <w:t>Topotecan</w:t>
            </w:r>
          </w:p>
        </w:tc>
        <w:tc>
          <w:tcPr>
            <w:tcW w:w="6046" w:type="dxa"/>
            <w:gridSpan w:val="2"/>
          </w:tcPr>
          <w:p w14:paraId="2095CCE8"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n=120</w:t>
            </w:r>
          </w:p>
        </w:tc>
      </w:tr>
      <w:tr w:rsidR="001050E6" w:rsidRPr="005476B6" w14:paraId="13FB4322" w14:textId="77777777" w:rsidTr="001278B6">
        <w:trPr>
          <w:cantSplit/>
        </w:trPr>
        <w:tc>
          <w:tcPr>
            <w:tcW w:w="3246" w:type="dxa"/>
          </w:tcPr>
          <w:p w14:paraId="68344C2E"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Median PFS (måneder)</w:t>
            </w:r>
          </w:p>
        </w:tc>
        <w:tc>
          <w:tcPr>
            <w:tcW w:w="3093" w:type="dxa"/>
          </w:tcPr>
          <w:p w14:paraId="395B7B12"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2,1</w:t>
            </w:r>
          </w:p>
        </w:tc>
        <w:tc>
          <w:tcPr>
            <w:tcW w:w="2953" w:type="dxa"/>
          </w:tcPr>
          <w:p w14:paraId="058D2CC5"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6,2</w:t>
            </w:r>
          </w:p>
        </w:tc>
      </w:tr>
      <w:tr w:rsidR="001050E6" w:rsidRPr="005476B6" w14:paraId="23A1C2F0" w14:textId="77777777" w:rsidTr="001278B6">
        <w:trPr>
          <w:cantSplit/>
        </w:trPr>
        <w:tc>
          <w:tcPr>
            <w:tcW w:w="3246" w:type="dxa"/>
          </w:tcPr>
          <w:p w14:paraId="294B205B" w14:textId="77777777" w:rsidR="001050E6" w:rsidRPr="001278B6" w:rsidRDefault="001050E6" w:rsidP="001278B6">
            <w:pPr>
              <w:pStyle w:val="TableParagraph"/>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 konfidensinterval)</w:t>
            </w:r>
          </w:p>
        </w:tc>
        <w:tc>
          <w:tcPr>
            <w:tcW w:w="6046" w:type="dxa"/>
            <w:gridSpan w:val="2"/>
          </w:tcPr>
          <w:p w14:paraId="422514F5"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0,28 [0,18; 0,44]</w:t>
            </w:r>
          </w:p>
        </w:tc>
      </w:tr>
      <w:tr w:rsidR="001050E6" w:rsidRPr="005476B6" w14:paraId="6AECE9D9" w14:textId="77777777" w:rsidTr="001278B6">
        <w:trPr>
          <w:cantSplit/>
        </w:trPr>
        <w:tc>
          <w:tcPr>
            <w:tcW w:w="3246" w:type="dxa"/>
          </w:tcPr>
          <w:p w14:paraId="0FC0330E"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Median OS (måneder)</w:t>
            </w:r>
          </w:p>
        </w:tc>
        <w:tc>
          <w:tcPr>
            <w:tcW w:w="3093" w:type="dxa"/>
          </w:tcPr>
          <w:p w14:paraId="5B734699"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13,3</w:t>
            </w:r>
          </w:p>
        </w:tc>
        <w:tc>
          <w:tcPr>
            <w:tcW w:w="2953" w:type="dxa"/>
          </w:tcPr>
          <w:p w14:paraId="7068435B" w14:textId="77777777" w:rsidR="001050E6" w:rsidRPr="001278B6" w:rsidRDefault="001050E6" w:rsidP="001278B6">
            <w:pPr>
              <w:pStyle w:val="TableParagraph"/>
              <w:widowControl/>
              <w:adjustRightInd w:val="0"/>
              <w:snapToGrid w:val="0"/>
              <w:jc w:val="center"/>
              <w:rPr>
                <w:snapToGrid w:val="0"/>
                <w:sz w:val="20"/>
                <w:lang w:val="da-DK"/>
              </w:rPr>
            </w:pPr>
            <w:r w:rsidRPr="001278B6">
              <w:rPr>
                <w:snapToGrid w:val="0"/>
                <w:sz w:val="20"/>
                <w:lang w:val="da-DK"/>
              </w:rPr>
              <w:t>13,8</w:t>
            </w:r>
          </w:p>
        </w:tc>
      </w:tr>
      <w:tr w:rsidR="009D7C20" w:rsidRPr="005476B6" w14:paraId="2745BA60" w14:textId="77777777" w:rsidTr="001278B6">
        <w:trPr>
          <w:cantSplit/>
        </w:trPr>
        <w:tc>
          <w:tcPr>
            <w:tcW w:w="3246" w:type="dxa"/>
          </w:tcPr>
          <w:p w14:paraId="1DD42A56" w14:textId="77777777" w:rsidR="009D7C20" w:rsidRPr="001278B6" w:rsidRDefault="009D7C20" w:rsidP="001278B6">
            <w:pPr>
              <w:pStyle w:val="TableParagraph"/>
              <w:widowControl/>
              <w:adjustRightInd w:val="0"/>
              <w:snapToGrid w:val="0"/>
              <w:jc w:val="center"/>
              <w:rPr>
                <w:snapToGrid w:val="0"/>
                <w:sz w:val="20"/>
                <w:lang w:val="da-DK"/>
              </w:rPr>
            </w:pPr>
            <w:r w:rsidRPr="00F466A3">
              <w:rPr>
                <w:iCs/>
                <w:snapToGrid w:val="0"/>
                <w:sz w:val="20"/>
                <w:lang w:val="da-DK"/>
              </w:rPr>
              <w:t xml:space="preserve">Hazard </w:t>
            </w:r>
            <w:r w:rsidRPr="001278B6">
              <w:rPr>
                <w:snapToGrid w:val="0"/>
                <w:sz w:val="20"/>
                <w:lang w:val="da-DK"/>
              </w:rPr>
              <w:t>ratio (95 % konfidensinterval)</w:t>
            </w:r>
          </w:p>
        </w:tc>
        <w:tc>
          <w:tcPr>
            <w:tcW w:w="6046" w:type="dxa"/>
            <w:gridSpan w:val="2"/>
          </w:tcPr>
          <w:p w14:paraId="6F68EC7F"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1,07 [0,70; 1,63]</w:t>
            </w:r>
          </w:p>
        </w:tc>
      </w:tr>
      <w:tr w:rsidR="009D7C20" w:rsidRPr="005476B6" w14:paraId="298A321D" w14:textId="77777777" w:rsidTr="001278B6">
        <w:trPr>
          <w:cantSplit/>
        </w:trPr>
        <w:tc>
          <w:tcPr>
            <w:tcW w:w="3246" w:type="dxa"/>
          </w:tcPr>
          <w:p w14:paraId="390BC0A1" w14:textId="77777777" w:rsidR="009D7C20" w:rsidRPr="001278B6" w:rsidRDefault="009D7C20" w:rsidP="001278B6">
            <w:pPr>
              <w:pStyle w:val="TableParagraph"/>
              <w:keepNext/>
              <w:keepLines/>
              <w:widowControl/>
              <w:adjustRightInd w:val="0"/>
              <w:snapToGrid w:val="0"/>
              <w:jc w:val="center"/>
              <w:rPr>
                <w:snapToGrid w:val="0"/>
                <w:sz w:val="20"/>
                <w:lang w:val="da-DK"/>
              </w:rPr>
            </w:pPr>
            <w:r w:rsidRPr="001278B6">
              <w:rPr>
                <w:b/>
                <w:snapToGrid w:val="0"/>
                <w:sz w:val="20"/>
                <w:lang w:val="da-DK"/>
              </w:rPr>
              <w:t>Pegyleret liposomal doxorubicin</w:t>
            </w:r>
          </w:p>
        </w:tc>
        <w:tc>
          <w:tcPr>
            <w:tcW w:w="6046" w:type="dxa"/>
            <w:gridSpan w:val="2"/>
          </w:tcPr>
          <w:p w14:paraId="12E9AC78"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n=126</w:t>
            </w:r>
          </w:p>
        </w:tc>
      </w:tr>
      <w:tr w:rsidR="009D7C20" w:rsidRPr="005476B6" w14:paraId="2BC4CB3B" w14:textId="77777777" w:rsidTr="001278B6">
        <w:trPr>
          <w:cantSplit/>
        </w:trPr>
        <w:tc>
          <w:tcPr>
            <w:tcW w:w="3246" w:type="dxa"/>
          </w:tcPr>
          <w:p w14:paraId="35B1570E" w14:textId="77777777" w:rsidR="009D7C20" w:rsidRPr="001278B6" w:rsidRDefault="009D7C20" w:rsidP="001278B6">
            <w:pPr>
              <w:pStyle w:val="TableParagraph"/>
              <w:keepNext/>
              <w:keepLines/>
              <w:widowControl/>
              <w:adjustRightInd w:val="0"/>
              <w:snapToGrid w:val="0"/>
              <w:jc w:val="center"/>
              <w:rPr>
                <w:snapToGrid w:val="0"/>
                <w:sz w:val="20"/>
                <w:lang w:val="da-DK"/>
              </w:rPr>
            </w:pPr>
            <w:r w:rsidRPr="001278B6">
              <w:rPr>
                <w:snapToGrid w:val="0"/>
                <w:sz w:val="20"/>
                <w:lang w:val="da-DK"/>
              </w:rPr>
              <w:t>Median PFS (måneder)</w:t>
            </w:r>
          </w:p>
        </w:tc>
        <w:tc>
          <w:tcPr>
            <w:tcW w:w="3093" w:type="dxa"/>
          </w:tcPr>
          <w:p w14:paraId="6F6589BA"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3,5</w:t>
            </w:r>
          </w:p>
        </w:tc>
        <w:tc>
          <w:tcPr>
            <w:tcW w:w="2953" w:type="dxa"/>
          </w:tcPr>
          <w:p w14:paraId="25619604"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5,1</w:t>
            </w:r>
          </w:p>
        </w:tc>
      </w:tr>
      <w:tr w:rsidR="009D7C20" w:rsidRPr="005476B6" w14:paraId="66EA630F" w14:textId="77777777" w:rsidTr="001278B6">
        <w:trPr>
          <w:cantSplit/>
        </w:trPr>
        <w:tc>
          <w:tcPr>
            <w:tcW w:w="3246" w:type="dxa"/>
          </w:tcPr>
          <w:p w14:paraId="37B55D9E" w14:textId="77777777" w:rsidR="009D7C20" w:rsidRPr="001278B6" w:rsidRDefault="009D7C20" w:rsidP="001278B6">
            <w:pPr>
              <w:pStyle w:val="TableParagraph"/>
              <w:keepNext/>
              <w:keepLines/>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 konfidensinterval)</w:t>
            </w:r>
          </w:p>
        </w:tc>
        <w:tc>
          <w:tcPr>
            <w:tcW w:w="6046" w:type="dxa"/>
            <w:gridSpan w:val="2"/>
          </w:tcPr>
          <w:p w14:paraId="43D53F4E"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0,53 [0,36; 0,77]</w:t>
            </w:r>
          </w:p>
        </w:tc>
      </w:tr>
      <w:tr w:rsidR="009D7C20" w:rsidRPr="005476B6" w14:paraId="6CF2F89F" w14:textId="77777777" w:rsidTr="001278B6">
        <w:trPr>
          <w:cantSplit/>
        </w:trPr>
        <w:tc>
          <w:tcPr>
            <w:tcW w:w="3246" w:type="dxa"/>
          </w:tcPr>
          <w:p w14:paraId="48E71A7A" w14:textId="77777777" w:rsidR="009D7C20" w:rsidRPr="001278B6" w:rsidRDefault="009D7C20" w:rsidP="001278B6">
            <w:pPr>
              <w:pStyle w:val="TableParagraph"/>
              <w:keepNext/>
              <w:keepLines/>
              <w:widowControl/>
              <w:adjustRightInd w:val="0"/>
              <w:snapToGrid w:val="0"/>
              <w:jc w:val="center"/>
              <w:rPr>
                <w:snapToGrid w:val="0"/>
                <w:sz w:val="20"/>
                <w:lang w:val="da-DK"/>
              </w:rPr>
            </w:pPr>
            <w:r w:rsidRPr="001278B6">
              <w:rPr>
                <w:snapToGrid w:val="0"/>
                <w:sz w:val="20"/>
                <w:lang w:val="da-DK"/>
              </w:rPr>
              <w:t>Median OS (måneder)</w:t>
            </w:r>
          </w:p>
        </w:tc>
        <w:tc>
          <w:tcPr>
            <w:tcW w:w="3093" w:type="dxa"/>
          </w:tcPr>
          <w:p w14:paraId="64EFA6F7"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14,1</w:t>
            </w:r>
          </w:p>
        </w:tc>
        <w:tc>
          <w:tcPr>
            <w:tcW w:w="2953" w:type="dxa"/>
          </w:tcPr>
          <w:p w14:paraId="58E53A1B"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13,7</w:t>
            </w:r>
          </w:p>
        </w:tc>
      </w:tr>
      <w:tr w:rsidR="009D7C20" w:rsidRPr="005476B6" w14:paraId="591AB459" w14:textId="77777777" w:rsidTr="001278B6">
        <w:trPr>
          <w:cantSplit/>
        </w:trPr>
        <w:tc>
          <w:tcPr>
            <w:tcW w:w="3246" w:type="dxa"/>
          </w:tcPr>
          <w:p w14:paraId="4038CB4C" w14:textId="77777777" w:rsidR="009D7C20" w:rsidRPr="001278B6" w:rsidRDefault="009D7C20" w:rsidP="001278B6">
            <w:pPr>
              <w:pStyle w:val="TableParagraph"/>
              <w:widowControl/>
              <w:adjustRightInd w:val="0"/>
              <w:snapToGrid w:val="0"/>
              <w:jc w:val="center"/>
              <w:rPr>
                <w:snapToGrid w:val="0"/>
                <w:sz w:val="20"/>
                <w:lang w:val="da-DK"/>
              </w:rPr>
            </w:pPr>
            <w:r w:rsidRPr="00F466A3">
              <w:rPr>
                <w:iCs/>
                <w:snapToGrid w:val="0"/>
                <w:sz w:val="20"/>
                <w:lang w:val="da-DK"/>
              </w:rPr>
              <w:t>Hazard</w:t>
            </w:r>
            <w:r w:rsidRPr="001278B6">
              <w:rPr>
                <w:i/>
                <w:snapToGrid w:val="0"/>
                <w:sz w:val="20"/>
                <w:lang w:val="da-DK"/>
              </w:rPr>
              <w:t xml:space="preserve"> </w:t>
            </w:r>
            <w:r w:rsidRPr="001278B6">
              <w:rPr>
                <w:snapToGrid w:val="0"/>
                <w:sz w:val="20"/>
                <w:lang w:val="da-DK"/>
              </w:rPr>
              <w:t>ratio (95 %</w:t>
            </w:r>
            <w:r w:rsidR="00D125CB">
              <w:rPr>
                <w:snapToGrid w:val="0"/>
                <w:sz w:val="20"/>
                <w:lang w:val="da-DK"/>
              </w:rPr>
              <w:t xml:space="preserve"> </w:t>
            </w:r>
            <w:r w:rsidRPr="001278B6">
              <w:rPr>
                <w:snapToGrid w:val="0"/>
                <w:sz w:val="20"/>
                <w:lang w:val="da-DK"/>
              </w:rPr>
              <w:t>konfidensinterval)</w:t>
            </w:r>
          </w:p>
        </w:tc>
        <w:tc>
          <w:tcPr>
            <w:tcW w:w="6046" w:type="dxa"/>
            <w:gridSpan w:val="2"/>
          </w:tcPr>
          <w:p w14:paraId="5DDBECDD" w14:textId="77777777" w:rsidR="009D7C20" w:rsidRPr="001278B6" w:rsidRDefault="009D7C20" w:rsidP="001278B6">
            <w:pPr>
              <w:pStyle w:val="TableParagraph"/>
              <w:widowControl/>
              <w:adjustRightInd w:val="0"/>
              <w:snapToGrid w:val="0"/>
              <w:jc w:val="center"/>
              <w:rPr>
                <w:snapToGrid w:val="0"/>
                <w:sz w:val="20"/>
                <w:lang w:val="da-DK"/>
              </w:rPr>
            </w:pPr>
            <w:r w:rsidRPr="001278B6">
              <w:rPr>
                <w:snapToGrid w:val="0"/>
                <w:sz w:val="20"/>
                <w:lang w:val="da-DK"/>
              </w:rPr>
              <w:t>0,91 [0,61; 1,35]</w:t>
            </w:r>
          </w:p>
        </w:tc>
      </w:tr>
    </w:tbl>
    <w:p w14:paraId="7085A0E8" w14:textId="77777777" w:rsidR="003563EF" w:rsidRPr="001278B6" w:rsidRDefault="003563EF" w:rsidP="001278B6">
      <w:pPr>
        <w:pStyle w:val="a3"/>
        <w:widowControl/>
        <w:adjustRightInd w:val="0"/>
        <w:snapToGrid w:val="0"/>
        <w:rPr>
          <w:b/>
          <w:snapToGrid w:val="0"/>
          <w:lang w:val="da-DK"/>
        </w:rPr>
      </w:pPr>
    </w:p>
    <w:p w14:paraId="517AD7AC" w14:textId="77777777" w:rsidR="003563EF" w:rsidRPr="001278B6" w:rsidRDefault="00473235" w:rsidP="001278B6">
      <w:pPr>
        <w:keepNext/>
        <w:keepLines/>
        <w:widowControl/>
        <w:adjustRightInd w:val="0"/>
        <w:snapToGrid w:val="0"/>
        <w:rPr>
          <w:i/>
          <w:snapToGrid w:val="0"/>
          <w:lang w:val="da-DK"/>
        </w:rPr>
      </w:pPr>
      <w:r w:rsidRPr="001278B6">
        <w:rPr>
          <w:i/>
          <w:snapToGrid w:val="0"/>
          <w:u w:val="single"/>
          <w:lang w:val="da-DK"/>
        </w:rPr>
        <w:t>Cervixcancer</w:t>
      </w:r>
    </w:p>
    <w:p w14:paraId="70B0B0D5" w14:textId="77777777" w:rsidR="003563EF" w:rsidRPr="001278B6" w:rsidRDefault="003563EF" w:rsidP="001278B6">
      <w:pPr>
        <w:pStyle w:val="a3"/>
        <w:keepNext/>
        <w:keepLines/>
        <w:widowControl/>
        <w:adjustRightInd w:val="0"/>
        <w:snapToGrid w:val="0"/>
        <w:rPr>
          <w:i/>
          <w:snapToGrid w:val="0"/>
          <w:lang w:val="da-DK"/>
        </w:rPr>
      </w:pPr>
    </w:p>
    <w:p w14:paraId="457CC2EE"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GOG</w:t>
      </w:r>
      <w:r w:rsidR="004B3750">
        <w:rPr>
          <w:snapToGrid w:val="0"/>
          <w:lang w:val="da-DK"/>
        </w:rPr>
        <w:noBreakHyphen/>
      </w:r>
      <w:r w:rsidRPr="001278B6">
        <w:rPr>
          <w:snapToGrid w:val="0"/>
          <w:lang w:val="da-DK"/>
        </w:rPr>
        <w:t>0240</w:t>
      </w:r>
    </w:p>
    <w:p w14:paraId="5E4EFF7F"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Effekten og sikkerheden af </w:t>
      </w:r>
      <w:r w:rsidR="00522B87">
        <w:rPr>
          <w:snapToGrid w:val="0"/>
          <w:lang w:val="da-DK"/>
        </w:rPr>
        <w:t>bevacizumab</w:t>
      </w:r>
      <w:r w:rsidRPr="001278B6">
        <w:rPr>
          <w:snapToGrid w:val="0"/>
          <w:lang w:val="da-DK"/>
        </w:rPr>
        <w:t xml:space="preserve"> i kombination med kemoterapi (paclitaxel og cisplatin eller paclitaxel og topotecan) i behandlingen af patienter med persisterende, recidiverende eller metastatisk cervixkarcinom blev evalueret i studiet GOG</w:t>
      </w:r>
      <w:r w:rsidR="004B3750">
        <w:rPr>
          <w:snapToGrid w:val="0"/>
          <w:lang w:val="da-DK"/>
        </w:rPr>
        <w:noBreakHyphen/>
      </w:r>
      <w:r w:rsidRPr="001278B6">
        <w:rPr>
          <w:snapToGrid w:val="0"/>
          <w:lang w:val="da-DK"/>
        </w:rPr>
        <w:t>0240, et randomiseret, 4</w:t>
      </w:r>
      <w:r w:rsidR="004B3750">
        <w:rPr>
          <w:snapToGrid w:val="0"/>
          <w:lang w:val="da-DK"/>
        </w:rPr>
        <w:noBreakHyphen/>
      </w:r>
      <w:r w:rsidRPr="001278B6">
        <w:rPr>
          <w:snapToGrid w:val="0"/>
          <w:lang w:val="da-DK"/>
        </w:rPr>
        <w:t>armet,</w:t>
      </w:r>
    </w:p>
    <w:p w14:paraId="17AC9F94" w14:textId="77777777" w:rsidR="003563EF" w:rsidRPr="001278B6" w:rsidRDefault="00473235" w:rsidP="001278B6">
      <w:pPr>
        <w:pStyle w:val="a3"/>
        <w:widowControl/>
        <w:adjustRightInd w:val="0"/>
        <w:snapToGrid w:val="0"/>
        <w:rPr>
          <w:snapToGrid w:val="0"/>
          <w:lang w:val="da-DK"/>
        </w:rPr>
      </w:pPr>
      <w:r w:rsidRPr="001278B6">
        <w:rPr>
          <w:snapToGrid w:val="0"/>
          <w:lang w:val="da-DK"/>
        </w:rPr>
        <w:t>åbent fase III multicenterstudie.</w:t>
      </w:r>
    </w:p>
    <w:p w14:paraId="5472AE95" w14:textId="77777777" w:rsidR="003563EF" w:rsidRPr="001278B6" w:rsidRDefault="003563EF" w:rsidP="001278B6">
      <w:pPr>
        <w:pStyle w:val="a3"/>
        <w:widowControl/>
        <w:adjustRightInd w:val="0"/>
        <w:snapToGrid w:val="0"/>
        <w:rPr>
          <w:snapToGrid w:val="0"/>
          <w:lang w:val="da-DK"/>
        </w:rPr>
      </w:pPr>
    </w:p>
    <w:p w14:paraId="4EA05E59"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omfattede i alt 452 patienter, der blev randomiseret til at få enten:</w:t>
      </w:r>
    </w:p>
    <w:p w14:paraId="79505C76" w14:textId="77777777" w:rsidR="003563EF" w:rsidRPr="001278B6" w:rsidRDefault="003563EF" w:rsidP="001278B6">
      <w:pPr>
        <w:pStyle w:val="a3"/>
        <w:widowControl/>
        <w:adjustRightInd w:val="0"/>
        <w:snapToGrid w:val="0"/>
        <w:rPr>
          <w:snapToGrid w:val="0"/>
          <w:lang w:val="da-DK"/>
        </w:rPr>
      </w:pPr>
    </w:p>
    <w:p w14:paraId="1AF81CCC" w14:textId="77777777" w:rsidR="003563EF" w:rsidRPr="001278B6" w:rsidRDefault="00473235" w:rsidP="001278B6">
      <w:pPr>
        <w:pStyle w:val="a4"/>
        <w:widowControl/>
        <w:numPr>
          <w:ilvl w:val="0"/>
          <w:numId w:val="14"/>
        </w:numPr>
        <w:adjustRightInd w:val="0"/>
        <w:snapToGrid w:val="0"/>
        <w:ind w:left="567"/>
        <w:rPr>
          <w:snapToGrid w:val="0"/>
          <w:lang w:val="da-DK"/>
        </w:rPr>
      </w:pPr>
      <w:r w:rsidRPr="001278B6">
        <w:rPr>
          <w:snapToGrid w:val="0"/>
          <w:lang w:val="da-DK"/>
        </w:rPr>
        <w:t>Paclitaxel 135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522B87">
        <w:rPr>
          <w:snapToGrid w:val="0"/>
          <w:lang w:val="da-DK"/>
        </w:rPr>
        <w:t>ntravenøst</w:t>
      </w:r>
      <w:r w:rsidRPr="001278B6">
        <w:rPr>
          <w:snapToGrid w:val="0"/>
          <w:lang w:val="da-DK"/>
        </w:rPr>
        <w:t xml:space="preserve"> over 24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522B87">
        <w:rPr>
          <w:snapToGrid w:val="0"/>
          <w:lang w:val="da-DK"/>
        </w:rPr>
        <w:t>ntravenøst</w:t>
      </w:r>
      <w:r w:rsidRPr="001278B6">
        <w:rPr>
          <w:snapToGrid w:val="0"/>
          <w:lang w:val="da-DK"/>
        </w:rPr>
        <w:t xml:space="preserve"> på dag 2, hver 3. uge; eller</w:t>
      </w:r>
    </w:p>
    <w:p w14:paraId="3B757063" w14:textId="77777777" w:rsidR="003563EF" w:rsidRPr="001278B6" w:rsidRDefault="00473235" w:rsidP="001278B6">
      <w:pPr>
        <w:pStyle w:val="a3"/>
        <w:widowControl/>
        <w:adjustRightInd w:val="0"/>
        <w:snapToGrid w:val="0"/>
        <w:ind w:left="567"/>
        <w:rPr>
          <w:snapToGrid w:val="0"/>
          <w:lang w:val="da-DK"/>
        </w:rPr>
      </w:pPr>
      <w:r w:rsidRPr="001278B6">
        <w:rPr>
          <w:snapToGrid w:val="0"/>
          <w:lang w:val="da-DK"/>
        </w:rPr>
        <w:t>Paclitaxel 175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522B87">
        <w:rPr>
          <w:snapToGrid w:val="0"/>
          <w:lang w:val="da-DK"/>
        </w:rPr>
        <w:t>ntravenøst</w:t>
      </w:r>
      <w:r w:rsidRPr="001278B6">
        <w:rPr>
          <w:snapToGrid w:val="0"/>
          <w:lang w:val="da-DK"/>
        </w:rPr>
        <w:t xml:space="preserve"> over 3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på dag 2, hver 3. uge; eller</w:t>
      </w:r>
    </w:p>
    <w:p w14:paraId="23655B3C" w14:textId="77777777" w:rsidR="003563EF" w:rsidRPr="001278B6" w:rsidRDefault="00473235" w:rsidP="001278B6">
      <w:pPr>
        <w:pStyle w:val="a3"/>
        <w:widowControl/>
        <w:adjustRightInd w:val="0"/>
        <w:snapToGrid w:val="0"/>
        <w:ind w:left="567"/>
        <w:rPr>
          <w:snapToGrid w:val="0"/>
          <w:lang w:val="da-DK"/>
        </w:rPr>
      </w:pPr>
      <w:r w:rsidRPr="001278B6">
        <w:rPr>
          <w:snapToGrid w:val="0"/>
          <w:lang w:val="da-DK"/>
        </w:rPr>
        <w:t>Paclitaxel 175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522B87">
        <w:rPr>
          <w:snapToGrid w:val="0"/>
          <w:lang w:val="da-DK"/>
        </w:rPr>
        <w:t>ntravenøst</w:t>
      </w:r>
      <w:r w:rsidRPr="001278B6">
        <w:rPr>
          <w:snapToGrid w:val="0"/>
          <w:lang w:val="da-DK"/>
        </w:rPr>
        <w:t xml:space="preserve"> over 3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på dag 1, hver 3. uge.</w:t>
      </w:r>
    </w:p>
    <w:p w14:paraId="0269DB67" w14:textId="77777777" w:rsidR="003563EF" w:rsidRPr="001278B6" w:rsidRDefault="003563EF" w:rsidP="001278B6">
      <w:pPr>
        <w:pStyle w:val="a3"/>
        <w:widowControl/>
        <w:adjustRightInd w:val="0"/>
        <w:snapToGrid w:val="0"/>
        <w:rPr>
          <w:snapToGrid w:val="0"/>
          <w:lang w:val="da-DK"/>
        </w:rPr>
      </w:pPr>
    </w:p>
    <w:p w14:paraId="3212A049" w14:textId="77777777" w:rsidR="003563EF" w:rsidRPr="001278B6" w:rsidRDefault="00473235" w:rsidP="001278B6">
      <w:pPr>
        <w:pStyle w:val="a4"/>
        <w:widowControl/>
        <w:numPr>
          <w:ilvl w:val="0"/>
          <w:numId w:val="14"/>
        </w:numPr>
        <w:adjustRightInd w:val="0"/>
        <w:snapToGrid w:val="0"/>
        <w:ind w:left="567"/>
        <w:rPr>
          <w:snapToGrid w:val="0"/>
          <w:lang w:val="da-DK"/>
        </w:rPr>
      </w:pPr>
      <w:r w:rsidRPr="001278B6">
        <w:rPr>
          <w:snapToGrid w:val="0"/>
          <w:lang w:val="da-DK"/>
        </w:rPr>
        <w:t>Paclitaxel 135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over 24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på dag 2 plus bevacizumab 15 mg/kg i</w:t>
      </w:r>
      <w:r w:rsidR="00823BDF">
        <w:rPr>
          <w:snapToGrid w:val="0"/>
          <w:lang w:val="da-DK"/>
        </w:rPr>
        <w:t>ntravenøst</w:t>
      </w:r>
      <w:r w:rsidRPr="001278B6">
        <w:rPr>
          <w:snapToGrid w:val="0"/>
          <w:lang w:val="da-DK"/>
        </w:rPr>
        <w:t xml:space="preserve"> på dag 2, hver 3. uge; eller</w:t>
      </w:r>
    </w:p>
    <w:p w14:paraId="0F9BEE43" w14:textId="77777777" w:rsidR="003563EF" w:rsidRPr="001278B6" w:rsidRDefault="00473235" w:rsidP="001278B6">
      <w:pPr>
        <w:pStyle w:val="a3"/>
        <w:widowControl/>
        <w:adjustRightInd w:val="0"/>
        <w:snapToGrid w:val="0"/>
        <w:ind w:left="567"/>
        <w:rPr>
          <w:snapToGrid w:val="0"/>
          <w:lang w:val="da-DK"/>
        </w:rPr>
      </w:pPr>
      <w:r w:rsidRPr="001278B6">
        <w:rPr>
          <w:snapToGrid w:val="0"/>
          <w:lang w:val="da-DK"/>
        </w:rPr>
        <w:lastRenderedPageBreak/>
        <w:t>Paclitaxel 175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over 3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på dag 2 plus bevacizumab 15 mg/kg i</w:t>
      </w:r>
      <w:r w:rsidR="00823BDF">
        <w:rPr>
          <w:snapToGrid w:val="0"/>
          <w:lang w:val="da-DK"/>
        </w:rPr>
        <w:t>ntravenøst</w:t>
      </w:r>
      <w:r w:rsidRPr="001278B6">
        <w:rPr>
          <w:snapToGrid w:val="0"/>
          <w:lang w:val="da-DK"/>
        </w:rPr>
        <w:t xml:space="preserve"> på dag 2, hver 3. uge; eller</w:t>
      </w:r>
    </w:p>
    <w:p w14:paraId="6C102D5F" w14:textId="77777777" w:rsidR="003563EF" w:rsidRPr="001278B6" w:rsidRDefault="00473235" w:rsidP="001278B6">
      <w:pPr>
        <w:pStyle w:val="a3"/>
        <w:widowControl/>
        <w:adjustRightInd w:val="0"/>
        <w:snapToGrid w:val="0"/>
        <w:ind w:left="567"/>
        <w:rPr>
          <w:snapToGrid w:val="0"/>
          <w:lang w:val="da-DK"/>
        </w:rPr>
      </w:pPr>
      <w:r w:rsidRPr="001278B6">
        <w:rPr>
          <w:snapToGrid w:val="0"/>
          <w:lang w:val="da-DK"/>
        </w:rPr>
        <w:t>Paclitaxel 175</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over 3 timer på dag 1 og cisplatin 50</w:t>
      </w:r>
      <w:r w:rsidR="00951A02">
        <w:rPr>
          <w:snapToGrid w:val="0"/>
          <w:lang w:val="da-DK"/>
        </w:rPr>
        <w:t> mg</w:t>
      </w:r>
      <w:r w:rsidRPr="001278B6">
        <w:rPr>
          <w:snapToGrid w:val="0"/>
          <w:lang w:val="da-DK"/>
        </w:rPr>
        <w:t>/m</w:t>
      </w:r>
      <w:r w:rsidRPr="001278B6">
        <w:rPr>
          <w:snapToGrid w:val="0"/>
          <w:vertAlign w:val="superscript"/>
          <w:lang w:val="da-DK"/>
        </w:rPr>
        <w:t>2</w:t>
      </w:r>
      <w:r w:rsidRPr="001278B6">
        <w:rPr>
          <w:snapToGrid w:val="0"/>
          <w:lang w:val="da-DK"/>
        </w:rPr>
        <w:t xml:space="preserve"> i</w:t>
      </w:r>
      <w:r w:rsidR="00823BDF">
        <w:rPr>
          <w:snapToGrid w:val="0"/>
          <w:lang w:val="da-DK"/>
        </w:rPr>
        <w:t>ntravenøst</w:t>
      </w:r>
      <w:r w:rsidRPr="001278B6">
        <w:rPr>
          <w:snapToGrid w:val="0"/>
          <w:lang w:val="da-DK"/>
        </w:rPr>
        <w:t xml:space="preserve"> på dag 1 plus bevacizumab 15 mg/kg i</w:t>
      </w:r>
      <w:r w:rsidR="00823BDF">
        <w:rPr>
          <w:snapToGrid w:val="0"/>
          <w:lang w:val="da-DK"/>
        </w:rPr>
        <w:t>ntravenøst</w:t>
      </w:r>
      <w:r w:rsidRPr="001278B6">
        <w:rPr>
          <w:snapToGrid w:val="0"/>
          <w:lang w:val="da-DK"/>
        </w:rPr>
        <w:t xml:space="preserve"> på dag 1, hver 3. uge.</w:t>
      </w:r>
    </w:p>
    <w:p w14:paraId="43A975B8" w14:textId="77777777" w:rsidR="003563EF" w:rsidRPr="001278B6" w:rsidRDefault="003563EF" w:rsidP="001278B6">
      <w:pPr>
        <w:pStyle w:val="a3"/>
        <w:widowControl/>
        <w:adjustRightInd w:val="0"/>
        <w:snapToGrid w:val="0"/>
        <w:rPr>
          <w:snapToGrid w:val="0"/>
          <w:lang w:val="da-DK"/>
        </w:rPr>
      </w:pPr>
    </w:p>
    <w:p w14:paraId="5715F660" w14:textId="77777777" w:rsidR="003563EF" w:rsidRPr="001278B6" w:rsidRDefault="00473235" w:rsidP="001278B6">
      <w:pPr>
        <w:pStyle w:val="Bullet1"/>
        <w:widowControl/>
        <w:rPr>
          <w:lang w:val="da-DK"/>
        </w:rPr>
      </w:pPr>
      <w:r w:rsidRPr="001278B6">
        <w:rPr>
          <w:lang w:val="da-DK"/>
        </w:rPr>
        <w:t>Paclitaxel 175</w:t>
      </w:r>
      <w:r w:rsidR="00951A02">
        <w:rPr>
          <w:lang w:val="da-DK"/>
        </w:rPr>
        <w:t> mg</w:t>
      </w:r>
      <w:r w:rsidRPr="001278B6">
        <w:rPr>
          <w:lang w:val="da-DK"/>
        </w:rPr>
        <w:t>/m</w:t>
      </w:r>
      <w:r w:rsidRPr="001278B6">
        <w:rPr>
          <w:vertAlign w:val="superscript"/>
          <w:lang w:val="da-DK"/>
        </w:rPr>
        <w:t>2</w:t>
      </w:r>
      <w:r w:rsidRPr="001278B6">
        <w:rPr>
          <w:lang w:val="da-DK"/>
        </w:rPr>
        <w:t xml:space="preserve"> i</w:t>
      </w:r>
      <w:r w:rsidR="00823BDF">
        <w:rPr>
          <w:lang w:val="da-DK"/>
        </w:rPr>
        <w:t>ntravenøst</w:t>
      </w:r>
      <w:r w:rsidRPr="001278B6">
        <w:rPr>
          <w:lang w:val="da-DK"/>
        </w:rPr>
        <w:t xml:space="preserve"> over 3 timer på dag 1 og topotecan 0,75</w:t>
      </w:r>
      <w:r w:rsidR="00951A02">
        <w:rPr>
          <w:lang w:val="da-DK"/>
        </w:rPr>
        <w:t> mg</w:t>
      </w:r>
      <w:r w:rsidRPr="001278B6">
        <w:rPr>
          <w:lang w:val="da-DK"/>
        </w:rPr>
        <w:t>/m</w:t>
      </w:r>
      <w:r w:rsidRPr="001278B6">
        <w:rPr>
          <w:vertAlign w:val="superscript"/>
          <w:lang w:val="da-DK"/>
        </w:rPr>
        <w:t>2</w:t>
      </w:r>
      <w:r w:rsidRPr="001278B6">
        <w:rPr>
          <w:lang w:val="da-DK"/>
        </w:rPr>
        <w:t xml:space="preserve"> i</w:t>
      </w:r>
      <w:r w:rsidR="00823BDF">
        <w:rPr>
          <w:lang w:val="da-DK"/>
        </w:rPr>
        <w:t>ntravenøst</w:t>
      </w:r>
      <w:r w:rsidRPr="001278B6">
        <w:rPr>
          <w:lang w:val="da-DK"/>
        </w:rPr>
        <w:t xml:space="preserve"> over 30 minutter på dag 1</w:t>
      </w:r>
      <w:r w:rsidR="004B3750">
        <w:rPr>
          <w:lang w:val="da-DK"/>
        </w:rPr>
        <w:noBreakHyphen/>
      </w:r>
      <w:r w:rsidRPr="001278B6">
        <w:rPr>
          <w:lang w:val="da-DK"/>
        </w:rPr>
        <w:t>3, hver 3. uge</w:t>
      </w:r>
    </w:p>
    <w:p w14:paraId="00999540" w14:textId="77777777" w:rsidR="0079124A" w:rsidRPr="001278B6" w:rsidRDefault="0079124A" w:rsidP="001278B6">
      <w:pPr>
        <w:widowControl/>
        <w:adjustRightInd w:val="0"/>
        <w:snapToGrid w:val="0"/>
        <w:rPr>
          <w:snapToGrid w:val="0"/>
          <w:lang w:val="da-DK"/>
        </w:rPr>
      </w:pPr>
    </w:p>
    <w:p w14:paraId="1EFF5998" w14:textId="77777777" w:rsidR="003563EF" w:rsidRPr="001278B6" w:rsidRDefault="00473235" w:rsidP="001278B6">
      <w:pPr>
        <w:pStyle w:val="Bullet1"/>
        <w:widowControl/>
        <w:rPr>
          <w:lang w:val="da-DK"/>
        </w:rPr>
      </w:pPr>
      <w:r w:rsidRPr="001278B6">
        <w:rPr>
          <w:lang w:val="da-DK"/>
        </w:rPr>
        <w:t>Paclitaxel 175</w:t>
      </w:r>
      <w:r w:rsidR="00951A02">
        <w:rPr>
          <w:lang w:val="da-DK"/>
        </w:rPr>
        <w:t> mg</w:t>
      </w:r>
      <w:r w:rsidRPr="001278B6">
        <w:rPr>
          <w:lang w:val="da-DK"/>
        </w:rPr>
        <w:t>/m</w:t>
      </w:r>
      <w:r w:rsidRPr="001278B6">
        <w:rPr>
          <w:vertAlign w:val="superscript"/>
          <w:lang w:val="da-DK"/>
        </w:rPr>
        <w:t>2</w:t>
      </w:r>
      <w:r w:rsidRPr="001278B6">
        <w:rPr>
          <w:lang w:val="da-DK"/>
        </w:rPr>
        <w:t xml:space="preserve"> i</w:t>
      </w:r>
      <w:r w:rsidR="00823BDF">
        <w:rPr>
          <w:lang w:val="da-DK"/>
        </w:rPr>
        <w:t>ntravenøst</w:t>
      </w:r>
      <w:r w:rsidRPr="001278B6">
        <w:rPr>
          <w:lang w:val="da-DK"/>
        </w:rPr>
        <w:t xml:space="preserve"> over 3 timer på dag 1 og topotecan 0,75</w:t>
      </w:r>
      <w:r w:rsidR="00951A02">
        <w:rPr>
          <w:lang w:val="da-DK"/>
        </w:rPr>
        <w:t> mg</w:t>
      </w:r>
      <w:r w:rsidRPr="001278B6">
        <w:rPr>
          <w:lang w:val="da-DK"/>
        </w:rPr>
        <w:t>/m</w:t>
      </w:r>
      <w:r w:rsidRPr="001278B6">
        <w:rPr>
          <w:vertAlign w:val="superscript"/>
          <w:lang w:val="da-DK"/>
        </w:rPr>
        <w:t>2</w:t>
      </w:r>
      <w:r w:rsidRPr="001278B6">
        <w:rPr>
          <w:lang w:val="da-DK"/>
        </w:rPr>
        <w:t xml:space="preserve"> i</w:t>
      </w:r>
      <w:r w:rsidR="00823BDF">
        <w:rPr>
          <w:lang w:val="da-DK"/>
        </w:rPr>
        <w:t>ntravenøst</w:t>
      </w:r>
      <w:r w:rsidRPr="001278B6">
        <w:rPr>
          <w:lang w:val="da-DK"/>
        </w:rPr>
        <w:t xml:space="preserve"> over 30 minutter på dag 1</w:t>
      </w:r>
      <w:r w:rsidR="004B3750">
        <w:rPr>
          <w:lang w:val="da-DK"/>
        </w:rPr>
        <w:noBreakHyphen/>
      </w:r>
      <w:r w:rsidRPr="001278B6">
        <w:rPr>
          <w:lang w:val="da-DK"/>
        </w:rPr>
        <w:t>3 plus bevacizumab 15 mg/kg i</w:t>
      </w:r>
      <w:r w:rsidR="00823BDF">
        <w:rPr>
          <w:lang w:val="da-DK"/>
        </w:rPr>
        <w:t>ntravenøst</w:t>
      </w:r>
      <w:r w:rsidRPr="001278B6">
        <w:rPr>
          <w:lang w:val="da-DK"/>
        </w:rPr>
        <w:t xml:space="preserve"> på dag 1, hver 3. uge.</w:t>
      </w:r>
    </w:p>
    <w:p w14:paraId="451CEF8A" w14:textId="77777777" w:rsidR="003563EF" w:rsidRPr="001278B6" w:rsidRDefault="003563EF" w:rsidP="001278B6">
      <w:pPr>
        <w:pStyle w:val="a3"/>
        <w:widowControl/>
        <w:adjustRightInd w:val="0"/>
        <w:snapToGrid w:val="0"/>
        <w:rPr>
          <w:snapToGrid w:val="0"/>
          <w:lang w:val="da-DK"/>
        </w:rPr>
      </w:pPr>
    </w:p>
    <w:p w14:paraId="021E65E1" w14:textId="77777777" w:rsidR="003563EF" w:rsidRPr="001278B6" w:rsidRDefault="00473235" w:rsidP="001278B6">
      <w:pPr>
        <w:pStyle w:val="a3"/>
        <w:widowControl/>
        <w:adjustRightInd w:val="0"/>
        <w:snapToGrid w:val="0"/>
        <w:rPr>
          <w:snapToGrid w:val="0"/>
          <w:lang w:val="da-DK"/>
        </w:rPr>
      </w:pPr>
      <w:r w:rsidRPr="001278B6">
        <w:rPr>
          <w:snapToGrid w:val="0"/>
          <w:lang w:val="da-DK"/>
        </w:rPr>
        <w:t>Studiet inkluderede patienter med persisterende, recidiverende eller metastatisk planocellulært karcinom, adenoskvamøst karcinom eller adenokarcinom i cervix, som ikke kunne kureres med operation og/eller strålebehandling, og som ikke tidligere havde fået behandling med bevacizumab, andre VEGF</w:t>
      </w:r>
      <w:r w:rsidR="004B3750">
        <w:rPr>
          <w:snapToGrid w:val="0"/>
          <w:lang w:val="da-DK"/>
        </w:rPr>
        <w:noBreakHyphen/>
      </w:r>
      <w:r w:rsidRPr="001278B6">
        <w:rPr>
          <w:snapToGrid w:val="0"/>
          <w:lang w:val="da-DK"/>
        </w:rPr>
        <w:t>hæmmere eller VEGF</w:t>
      </w:r>
      <w:r w:rsidR="004B3750">
        <w:rPr>
          <w:snapToGrid w:val="0"/>
          <w:lang w:val="da-DK"/>
        </w:rPr>
        <w:noBreakHyphen/>
      </w:r>
      <w:r w:rsidRPr="001278B6">
        <w:rPr>
          <w:snapToGrid w:val="0"/>
          <w:lang w:val="da-DK"/>
        </w:rPr>
        <w:t>receptor</w:t>
      </w:r>
      <w:r w:rsidR="004B3750">
        <w:rPr>
          <w:snapToGrid w:val="0"/>
          <w:lang w:val="da-DK"/>
        </w:rPr>
        <w:noBreakHyphen/>
      </w:r>
      <w:r w:rsidRPr="001278B6">
        <w:rPr>
          <w:snapToGrid w:val="0"/>
          <w:lang w:val="da-DK"/>
        </w:rPr>
        <w:t>målrettede lægemidler.</w:t>
      </w:r>
    </w:p>
    <w:p w14:paraId="63371159" w14:textId="77777777" w:rsidR="003563EF" w:rsidRPr="001278B6" w:rsidRDefault="003563EF" w:rsidP="001278B6">
      <w:pPr>
        <w:pStyle w:val="a3"/>
        <w:widowControl/>
        <w:adjustRightInd w:val="0"/>
        <w:snapToGrid w:val="0"/>
        <w:rPr>
          <w:snapToGrid w:val="0"/>
          <w:lang w:val="da-DK"/>
        </w:rPr>
      </w:pPr>
    </w:p>
    <w:p w14:paraId="52A16E68" w14:textId="77777777" w:rsidR="003563EF" w:rsidRDefault="00473235" w:rsidP="001278B6">
      <w:pPr>
        <w:pStyle w:val="a3"/>
        <w:widowControl/>
        <w:adjustRightInd w:val="0"/>
        <w:snapToGrid w:val="0"/>
        <w:rPr>
          <w:snapToGrid w:val="0"/>
          <w:lang w:val="da-DK"/>
        </w:rPr>
      </w:pPr>
      <w:r w:rsidRPr="001278B6">
        <w:rPr>
          <w:snapToGrid w:val="0"/>
          <w:lang w:val="da-DK"/>
        </w:rPr>
        <w:t>Medianalder var 46,0 år (spændvidde: 20</w:t>
      </w:r>
      <w:r w:rsidR="004B3750">
        <w:rPr>
          <w:snapToGrid w:val="0"/>
          <w:lang w:val="da-DK"/>
        </w:rPr>
        <w:noBreakHyphen/>
      </w:r>
      <w:r w:rsidRPr="001278B6">
        <w:rPr>
          <w:snapToGrid w:val="0"/>
          <w:lang w:val="da-DK"/>
        </w:rPr>
        <w:t>83) i kemoterapigruppen og 48,0 år (spændvidde: 22</w:t>
      </w:r>
      <w:r w:rsidR="004B3750">
        <w:rPr>
          <w:snapToGrid w:val="0"/>
          <w:lang w:val="da-DK"/>
        </w:rPr>
        <w:noBreakHyphen/>
      </w:r>
      <w:r w:rsidRPr="001278B6">
        <w:rPr>
          <w:snapToGrid w:val="0"/>
          <w:lang w:val="da-DK"/>
        </w:rPr>
        <w:t>85) i kemoterapi+</w:t>
      </w:r>
      <w:r w:rsidR="008E7ECF">
        <w:rPr>
          <w:snapToGrid w:val="0"/>
          <w:lang w:val="da-DK"/>
        </w:rPr>
        <w:t>bevacizumab</w:t>
      </w:r>
      <w:r w:rsidRPr="001278B6">
        <w:rPr>
          <w:snapToGrid w:val="0"/>
          <w:lang w:val="da-DK"/>
        </w:rPr>
        <w:t>gruppen. 9,3 % af patienterne i kemoterapi gruppen og 7,5 % af patienterne i kemoterapi+</w:t>
      </w:r>
      <w:r w:rsidR="008E7ECF">
        <w:rPr>
          <w:snapToGrid w:val="0"/>
          <w:lang w:val="da-DK"/>
        </w:rPr>
        <w:t>bevacizumab</w:t>
      </w:r>
      <w:r w:rsidRPr="001278B6">
        <w:rPr>
          <w:snapToGrid w:val="0"/>
          <w:lang w:val="da-DK"/>
        </w:rPr>
        <w:t>gruppen var over 65 år.</w:t>
      </w:r>
    </w:p>
    <w:p w14:paraId="16156BEB" w14:textId="77777777" w:rsidR="008E7ECF" w:rsidRPr="001278B6" w:rsidRDefault="008E7ECF" w:rsidP="001278B6">
      <w:pPr>
        <w:pStyle w:val="a3"/>
        <w:widowControl/>
        <w:adjustRightInd w:val="0"/>
        <w:snapToGrid w:val="0"/>
        <w:rPr>
          <w:snapToGrid w:val="0"/>
          <w:lang w:val="da-DK"/>
        </w:rPr>
      </w:pPr>
    </w:p>
    <w:p w14:paraId="4ED9CB92"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Af de 452 patienter randomiseret ved </w:t>
      </w:r>
      <w:r w:rsidRPr="001278B6">
        <w:rPr>
          <w:i/>
          <w:snapToGrid w:val="0"/>
          <w:lang w:val="da-DK"/>
        </w:rPr>
        <w:t xml:space="preserve">baseline </w:t>
      </w:r>
      <w:r w:rsidRPr="001278B6">
        <w:rPr>
          <w:snapToGrid w:val="0"/>
          <w:lang w:val="da-DK"/>
        </w:rPr>
        <w:t>var størstedelen kaukasiere (80,0 % i kemoterapigruppen og 75,3 % i kemoterapi+</w:t>
      </w:r>
      <w:r w:rsidR="00823BDF">
        <w:rPr>
          <w:snapToGrid w:val="0"/>
          <w:lang w:val="da-DK"/>
        </w:rPr>
        <w:t>bevacizumab</w:t>
      </w:r>
      <w:r w:rsidRPr="001278B6">
        <w:rPr>
          <w:snapToGrid w:val="0"/>
          <w:lang w:val="da-DK"/>
        </w:rPr>
        <w:t>gruppen), havde planocellulært karcinom (67,1 % i kemoterapigruppen og 69,6 % i kemoterapi+</w:t>
      </w:r>
      <w:r w:rsidR="00823BDF">
        <w:rPr>
          <w:snapToGrid w:val="0"/>
          <w:lang w:val="da-DK"/>
        </w:rPr>
        <w:t>bevacizumab</w:t>
      </w:r>
      <w:r w:rsidRPr="001278B6">
        <w:rPr>
          <w:snapToGrid w:val="0"/>
          <w:lang w:val="da-DK"/>
        </w:rPr>
        <w:t>gruppen), havde vedvarende/recidiverende sygdom (83,6 % i kemoterapigruppen og 82,8 % i kemoterapi+</w:t>
      </w:r>
      <w:r w:rsidR="00823BDF">
        <w:rPr>
          <w:snapToGrid w:val="0"/>
          <w:lang w:val="da-DK"/>
        </w:rPr>
        <w:t>bevacizumab</w:t>
      </w:r>
      <w:r w:rsidRPr="001278B6">
        <w:rPr>
          <w:snapToGrid w:val="0"/>
          <w:lang w:val="da-DK"/>
        </w:rPr>
        <w:t>gruppen), havde 1</w:t>
      </w:r>
      <w:r w:rsidR="004B3750">
        <w:rPr>
          <w:snapToGrid w:val="0"/>
          <w:lang w:val="da-DK"/>
        </w:rPr>
        <w:noBreakHyphen/>
      </w:r>
      <w:r w:rsidRPr="001278B6">
        <w:rPr>
          <w:snapToGrid w:val="0"/>
          <w:lang w:val="da-DK"/>
        </w:rPr>
        <w:t>2 metastatiske områder (72,0 % i kemoterapigruppen og 76,2 % i kemoterapi+</w:t>
      </w:r>
      <w:r w:rsidR="00823BDF">
        <w:rPr>
          <w:snapToGrid w:val="0"/>
          <w:lang w:val="da-DK"/>
        </w:rPr>
        <w:t>bevacizumab</w:t>
      </w:r>
      <w:r w:rsidRPr="001278B6">
        <w:rPr>
          <w:snapToGrid w:val="0"/>
          <w:lang w:val="da-DK"/>
        </w:rPr>
        <w:t>gruppen), havde lymfeknude</w:t>
      </w:r>
      <w:r w:rsidR="004B3750">
        <w:rPr>
          <w:snapToGrid w:val="0"/>
          <w:lang w:val="da-DK"/>
        </w:rPr>
        <w:noBreakHyphen/>
      </w:r>
      <w:r w:rsidRPr="001278B6">
        <w:rPr>
          <w:snapToGrid w:val="0"/>
          <w:lang w:val="da-DK"/>
        </w:rPr>
        <w:t>involvering (50,2 % i kemoterapigruppen og 56,4 % i kemoterapi+</w:t>
      </w:r>
      <w:r w:rsidR="00823BDF">
        <w:rPr>
          <w:snapToGrid w:val="0"/>
          <w:lang w:val="da-DK"/>
        </w:rPr>
        <w:t>bevacizumab</w:t>
      </w:r>
      <w:r w:rsidRPr="001278B6">
        <w:rPr>
          <w:snapToGrid w:val="0"/>
          <w:lang w:val="da-DK"/>
        </w:rPr>
        <w:t>gruppen) og havde en platin</w:t>
      </w:r>
      <w:r w:rsidR="004B3750">
        <w:rPr>
          <w:snapToGrid w:val="0"/>
          <w:lang w:val="da-DK"/>
        </w:rPr>
        <w:noBreakHyphen/>
      </w:r>
      <w:r w:rsidRPr="001278B6">
        <w:rPr>
          <w:snapToGrid w:val="0"/>
          <w:lang w:val="da-DK"/>
        </w:rPr>
        <w:t>fri periode på ≥ 6 måneder (72,5 % i kemoterapigruppen og 64,4 % i kemoterapi+</w:t>
      </w:r>
      <w:r w:rsidR="00823BDF">
        <w:rPr>
          <w:snapToGrid w:val="0"/>
          <w:lang w:val="da-DK"/>
        </w:rPr>
        <w:t>bevacizumab</w:t>
      </w:r>
      <w:r w:rsidRPr="001278B6">
        <w:rPr>
          <w:snapToGrid w:val="0"/>
          <w:lang w:val="da-DK"/>
        </w:rPr>
        <w:t>gruppen).</w:t>
      </w:r>
    </w:p>
    <w:p w14:paraId="14637888" w14:textId="77777777" w:rsidR="003563EF" w:rsidRPr="001278B6" w:rsidRDefault="003563EF" w:rsidP="001278B6">
      <w:pPr>
        <w:pStyle w:val="a3"/>
        <w:widowControl/>
        <w:adjustRightInd w:val="0"/>
        <w:snapToGrid w:val="0"/>
        <w:rPr>
          <w:snapToGrid w:val="0"/>
          <w:lang w:val="da-DK"/>
        </w:rPr>
      </w:pPr>
    </w:p>
    <w:p w14:paraId="4713C0BD" w14:textId="130B2121" w:rsidR="003563EF" w:rsidRPr="003C63FB" w:rsidRDefault="00473235" w:rsidP="001278B6">
      <w:pPr>
        <w:pStyle w:val="a3"/>
        <w:widowControl/>
        <w:adjustRightInd w:val="0"/>
        <w:snapToGrid w:val="0"/>
        <w:rPr>
          <w:snapToGrid w:val="0"/>
          <w:lang w:val="nb-NO"/>
        </w:rPr>
      </w:pPr>
      <w:r w:rsidRPr="003C63FB">
        <w:rPr>
          <w:snapToGrid w:val="0"/>
          <w:lang w:val="nb-NO"/>
        </w:rPr>
        <w:t xml:space="preserve">Det primære endepunkt var </w:t>
      </w:r>
      <w:r w:rsidR="001020B7" w:rsidRPr="003C63FB">
        <w:rPr>
          <w:snapToGrid w:val="0"/>
          <w:lang w:val="nb-NO"/>
        </w:rPr>
        <w:t>OS</w:t>
      </w:r>
      <w:r w:rsidRPr="003C63FB">
        <w:rPr>
          <w:snapToGrid w:val="0"/>
          <w:lang w:val="nb-NO"/>
        </w:rPr>
        <w:t xml:space="preserve">. Sekundære endepunkter inkluderede </w:t>
      </w:r>
      <w:r w:rsidR="001020B7" w:rsidRPr="003C63FB">
        <w:rPr>
          <w:snapToGrid w:val="0"/>
          <w:lang w:val="nb-NO"/>
        </w:rPr>
        <w:t>PFS</w:t>
      </w:r>
      <w:r w:rsidRPr="003C63FB">
        <w:rPr>
          <w:snapToGrid w:val="0"/>
          <w:lang w:val="nb-NO"/>
        </w:rPr>
        <w:t xml:space="preserve"> og objektiv responsrate. Resultaterne for </w:t>
      </w:r>
      <w:r w:rsidR="00823BDF" w:rsidRPr="003C63FB">
        <w:rPr>
          <w:snapToGrid w:val="0"/>
          <w:lang w:val="nb-NO"/>
        </w:rPr>
        <w:t>bevacizumab</w:t>
      </w:r>
      <w:r w:rsidRPr="003C63FB">
        <w:rPr>
          <w:snapToGrid w:val="0"/>
          <w:lang w:val="nb-NO"/>
        </w:rPr>
        <w:t>behandling og førsøgsbehandling fra den primære analyse og followup</w:t>
      </w:r>
      <w:r w:rsidR="004B3750" w:rsidRPr="003C63FB">
        <w:rPr>
          <w:snapToGrid w:val="0"/>
          <w:lang w:val="nb-NO"/>
        </w:rPr>
        <w:noBreakHyphen/>
      </w:r>
      <w:r w:rsidRPr="003C63FB">
        <w:rPr>
          <w:snapToGrid w:val="0"/>
          <w:lang w:val="nb-NO"/>
        </w:rPr>
        <w:t>analysen er præsenteret i tabel 25 og 26.</w:t>
      </w:r>
    </w:p>
    <w:p w14:paraId="386BC158" w14:textId="199C9C59" w:rsidR="003563EF" w:rsidRPr="00E85219" w:rsidRDefault="00AD71D9" w:rsidP="00E85219">
      <w:pPr>
        <w:ind w:left="1134" w:hanging="1134"/>
        <w:rPr>
          <w:b/>
          <w:bCs/>
          <w:snapToGrid w:val="0"/>
          <w:lang w:val="nb-NO"/>
        </w:rPr>
      </w:pPr>
      <w:r>
        <w:rPr>
          <w:snapToGrid w:val="0"/>
          <w:lang w:val="nb-NO"/>
        </w:rPr>
        <w:br w:type="page"/>
      </w:r>
      <w:r w:rsidR="00473235" w:rsidRPr="00E85219">
        <w:rPr>
          <w:b/>
          <w:bCs/>
          <w:snapToGrid w:val="0"/>
          <w:lang w:val="nb-NO"/>
        </w:rPr>
        <w:lastRenderedPageBreak/>
        <w:t>Tabel 25</w:t>
      </w:r>
      <w:r w:rsidR="00A95F2C" w:rsidRPr="00E85219">
        <w:rPr>
          <w:b/>
          <w:bCs/>
          <w:snapToGrid w:val="0"/>
          <w:lang w:val="nb-NO"/>
        </w:rPr>
        <w:t xml:space="preserve">. </w:t>
      </w:r>
      <w:r w:rsidR="0092341E" w:rsidRPr="00E85219">
        <w:rPr>
          <w:b/>
          <w:bCs/>
          <w:snapToGrid w:val="0"/>
          <w:lang w:val="nb-NO"/>
        </w:rPr>
        <w:tab/>
      </w:r>
      <w:r w:rsidR="00473235" w:rsidRPr="00E85219">
        <w:rPr>
          <w:b/>
          <w:bCs/>
          <w:snapToGrid w:val="0"/>
          <w:lang w:val="nb-NO"/>
        </w:rPr>
        <w:t>Effektresultater fra studie GOG</w:t>
      </w:r>
      <w:r w:rsidR="004B3750" w:rsidRPr="00E85219">
        <w:rPr>
          <w:b/>
          <w:bCs/>
          <w:snapToGrid w:val="0"/>
          <w:lang w:val="nb-NO"/>
        </w:rPr>
        <w:noBreakHyphen/>
      </w:r>
      <w:r w:rsidR="00473235" w:rsidRPr="00E85219">
        <w:rPr>
          <w:b/>
          <w:bCs/>
          <w:snapToGrid w:val="0"/>
          <w:lang w:val="nb-NO"/>
        </w:rPr>
        <w:t xml:space="preserve">0240 for </w:t>
      </w:r>
      <w:r w:rsidR="00823BDF" w:rsidRPr="00E85219">
        <w:rPr>
          <w:b/>
          <w:bCs/>
          <w:snapToGrid w:val="0"/>
          <w:lang w:val="nb-NO"/>
        </w:rPr>
        <w:t>bevacizumab</w:t>
      </w:r>
      <w:r w:rsidR="00473235" w:rsidRPr="00E85219">
        <w:rPr>
          <w:b/>
          <w:bCs/>
          <w:snapToGrid w:val="0"/>
          <w:lang w:val="nb-NO"/>
        </w:rPr>
        <w:t>behandling</w:t>
      </w:r>
    </w:p>
    <w:p w14:paraId="18E531C0" w14:textId="77777777" w:rsidR="003563EF" w:rsidRPr="003C63FB" w:rsidRDefault="003563EF" w:rsidP="001278B6">
      <w:pPr>
        <w:pStyle w:val="a3"/>
        <w:keepNext/>
        <w:keepLines/>
        <w:widowControl/>
        <w:adjustRightInd w:val="0"/>
        <w:snapToGrid w:val="0"/>
        <w:rPr>
          <w:b/>
          <w:snapToGrid w:val="0"/>
          <w:lang w:val="nb-N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2"/>
      </w:tblGrid>
      <w:tr w:rsidR="003563EF" w:rsidRPr="005476B6" w14:paraId="75AC4CA9" w14:textId="77777777" w:rsidTr="00AE5968">
        <w:trPr>
          <w:tblHeader/>
        </w:trPr>
        <w:tc>
          <w:tcPr>
            <w:tcW w:w="3094" w:type="dxa"/>
          </w:tcPr>
          <w:p w14:paraId="2BB251FE" w14:textId="77777777" w:rsidR="003563EF" w:rsidRPr="003C63FB" w:rsidRDefault="003563EF" w:rsidP="001278B6">
            <w:pPr>
              <w:pStyle w:val="TableParagraph"/>
              <w:keepNext/>
              <w:keepLines/>
              <w:widowControl/>
              <w:adjustRightInd w:val="0"/>
              <w:snapToGrid w:val="0"/>
              <w:rPr>
                <w:snapToGrid w:val="0"/>
                <w:sz w:val="20"/>
                <w:lang w:val="nb-NO"/>
              </w:rPr>
            </w:pPr>
          </w:p>
        </w:tc>
        <w:tc>
          <w:tcPr>
            <w:tcW w:w="3094" w:type="dxa"/>
          </w:tcPr>
          <w:p w14:paraId="73003C6F"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Kemoterapi</w:t>
            </w:r>
          </w:p>
          <w:p w14:paraId="6B1B733F"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(n=225)</w:t>
            </w:r>
          </w:p>
        </w:tc>
        <w:tc>
          <w:tcPr>
            <w:tcW w:w="3094" w:type="dxa"/>
          </w:tcPr>
          <w:p w14:paraId="17211AB8" w14:textId="70D2A246"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 xml:space="preserve">Kemoterapi + </w:t>
            </w:r>
            <w:r w:rsidR="004751F2">
              <w:rPr>
                <w:snapToGrid w:val="0"/>
                <w:lang w:val="da-DK"/>
              </w:rPr>
              <w:t>Bevacizumab</w:t>
            </w:r>
          </w:p>
          <w:p w14:paraId="6C0ACECC" w14:textId="77777777" w:rsidR="003563EF" w:rsidRPr="001278B6" w:rsidRDefault="00473235" w:rsidP="001278B6">
            <w:pPr>
              <w:pStyle w:val="TableParagraph"/>
              <w:keepNext/>
              <w:keepLines/>
              <w:widowControl/>
              <w:adjustRightInd w:val="0"/>
              <w:snapToGrid w:val="0"/>
              <w:jc w:val="center"/>
              <w:rPr>
                <w:snapToGrid w:val="0"/>
                <w:sz w:val="20"/>
                <w:lang w:val="da-DK"/>
              </w:rPr>
            </w:pPr>
            <w:r w:rsidRPr="001278B6">
              <w:rPr>
                <w:snapToGrid w:val="0"/>
                <w:sz w:val="20"/>
                <w:lang w:val="da-DK"/>
              </w:rPr>
              <w:t>(n=227)</w:t>
            </w:r>
          </w:p>
        </w:tc>
      </w:tr>
      <w:tr w:rsidR="003563EF" w:rsidRPr="005476B6" w14:paraId="736CA1D8" w14:textId="77777777" w:rsidTr="00C25944">
        <w:tc>
          <w:tcPr>
            <w:tcW w:w="9282" w:type="dxa"/>
            <w:gridSpan w:val="3"/>
          </w:tcPr>
          <w:p w14:paraId="6E05E69A" w14:textId="77777777" w:rsidR="003563EF" w:rsidRPr="001278B6" w:rsidRDefault="00473235" w:rsidP="001278B6">
            <w:pPr>
              <w:pStyle w:val="TableParagraph"/>
              <w:keepNext/>
              <w:keepLines/>
              <w:widowControl/>
              <w:adjustRightInd w:val="0"/>
              <w:snapToGrid w:val="0"/>
              <w:jc w:val="center"/>
              <w:rPr>
                <w:b/>
                <w:snapToGrid w:val="0"/>
                <w:sz w:val="20"/>
                <w:lang w:val="da-DK"/>
              </w:rPr>
            </w:pPr>
            <w:r w:rsidRPr="001278B6">
              <w:rPr>
                <w:b/>
                <w:snapToGrid w:val="0"/>
                <w:sz w:val="20"/>
                <w:lang w:val="da-DK"/>
              </w:rPr>
              <w:t>Primært endepunkt</w:t>
            </w:r>
          </w:p>
        </w:tc>
      </w:tr>
      <w:tr w:rsidR="003563EF" w:rsidRPr="005476B6" w14:paraId="29192318" w14:textId="77777777" w:rsidTr="00C25944">
        <w:tc>
          <w:tcPr>
            <w:tcW w:w="9282" w:type="dxa"/>
            <w:gridSpan w:val="3"/>
          </w:tcPr>
          <w:p w14:paraId="2989DE12" w14:textId="77777777" w:rsidR="003563EF" w:rsidRPr="001278B6" w:rsidRDefault="00473235" w:rsidP="001278B6">
            <w:pPr>
              <w:pStyle w:val="TableParagraph"/>
              <w:keepNext/>
              <w:keepLines/>
              <w:widowControl/>
              <w:adjustRightInd w:val="0"/>
              <w:snapToGrid w:val="0"/>
              <w:rPr>
                <w:b/>
                <w:snapToGrid w:val="0"/>
                <w:sz w:val="20"/>
                <w:lang w:val="da-DK"/>
              </w:rPr>
            </w:pPr>
            <w:r w:rsidRPr="001278B6">
              <w:rPr>
                <w:b/>
                <w:snapToGrid w:val="0"/>
                <w:sz w:val="20"/>
                <w:lang w:val="da-DK"/>
              </w:rPr>
              <w:t>Samlet overlevelse (primær analyse)</w:t>
            </w:r>
            <w:r w:rsidRPr="001278B6">
              <w:rPr>
                <w:b/>
                <w:snapToGrid w:val="0"/>
                <w:sz w:val="20"/>
                <w:vertAlign w:val="superscript"/>
                <w:lang w:val="da-DK"/>
              </w:rPr>
              <w:t>6</w:t>
            </w:r>
          </w:p>
        </w:tc>
      </w:tr>
      <w:tr w:rsidR="003563EF" w:rsidRPr="005476B6" w14:paraId="1D9FD79E" w14:textId="77777777" w:rsidTr="00C25944">
        <w:tc>
          <w:tcPr>
            <w:tcW w:w="3094" w:type="dxa"/>
          </w:tcPr>
          <w:p w14:paraId="44641F4B"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(måneder)</w:t>
            </w:r>
            <w:r w:rsidRPr="001278B6">
              <w:rPr>
                <w:snapToGrid w:val="0"/>
                <w:sz w:val="20"/>
                <w:vertAlign w:val="superscript"/>
                <w:lang w:val="da-DK"/>
              </w:rPr>
              <w:t>1</w:t>
            </w:r>
          </w:p>
        </w:tc>
        <w:tc>
          <w:tcPr>
            <w:tcW w:w="3094" w:type="dxa"/>
          </w:tcPr>
          <w:p w14:paraId="5011565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12,9</w:t>
            </w:r>
          </w:p>
        </w:tc>
        <w:tc>
          <w:tcPr>
            <w:tcW w:w="3094" w:type="dxa"/>
          </w:tcPr>
          <w:p w14:paraId="442A162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16,8</w:t>
            </w:r>
          </w:p>
        </w:tc>
      </w:tr>
      <w:tr w:rsidR="003563EF" w:rsidRPr="005476B6" w14:paraId="62172CAB" w14:textId="77777777" w:rsidTr="00C25944">
        <w:tc>
          <w:tcPr>
            <w:tcW w:w="3094" w:type="dxa"/>
          </w:tcPr>
          <w:p w14:paraId="181F83E5"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D0579E">
              <w:rPr>
                <w:iCs/>
                <w:snapToGrid w:val="0"/>
                <w:sz w:val="20"/>
                <w:lang w:val="da-DK"/>
              </w:rPr>
              <w:t>ratio</w:t>
            </w:r>
            <w:r w:rsidRPr="001278B6">
              <w:rPr>
                <w:snapToGrid w:val="0"/>
                <w:sz w:val="20"/>
                <w:lang w:val="da-DK"/>
              </w:rPr>
              <w:t xml:space="preserve"> (95 %</w:t>
            </w:r>
            <w:r w:rsidR="00D125CB">
              <w:rPr>
                <w:snapToGrid w:val="0"/>
                <w:sz w:val="20"/>
                <w:lang w:val="da-DK"/>
              </w:rPr>
              <w:t xml:space="preserve"> </w:t>
            </w:r>
            <w:r w:rsidRPr="001278B6">
              <w:rPr>
                <w:snapToGrid w:val="0"/>
                <w:sz w:val="20"/>
                <w:lang w:val="da-DK"/>
              </w:rPr>
              <w:t>konfidensinterval)</w:t>
            </w:r>
          </w:p>
        </w:tc>
        <w:tc>
          <w:tcPr>
            <w:tcW w:w="6188" w:type="dxa"/>
            <w:gridSpan w:val="2"/>
          </w:tcPr>
          <w:p w14:paraId="0C13A43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0,74 [0,58; 0,94]</w:t>
            </w:r>
          </w:p>
          <w:p w14:paraId="688F720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Pr="001278B6">
              <w:rPr>
                <w:snapToGrid w:val="0"/>
                <w:sz w:val="20"/>
                <w:vertAlign w:val="superscript"/>
                <w:lang w:val="da-DK"/>
              </w:rPr>
              <w:t>5</w:t>
            </w:r>
            <w:r w:rsidRPr="001278B6">
              <w:rPr>
                <w:snapToGrid w:val="0"/>
                <w:sz w:val="20"/>
                <w:lang w:val="da-DK"/>
              </w:rPr>
              <w:t>=0,0132)</w:t>
            </w:r>
          </w:p>
        </w:tc>
      </w:tr>
      <w:tr w:rsidR="003563EF" w:rsidRPr="005476B6" w14:paraId="26781A5F" w14:textId="77777777" w:rsidTr="00C25944">
        <w:tc>
          <w:tcPr>
            <w:tcW w:w="9282" w:type="dxa"/>
            <w:gridSpan w:val="3"/>
          </w:tcPr>
          <w:p w14:paraId="2E19950F"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Samlet overlevelse (followup</w:t>
            </w:r>
            <w:r w:rsidR="004B3750">
              <w:rPr>
                <w:b/>
                <w:snapToGrid w:val="0"/>
                <w:sz w:val="20"/>
                <w:lang w:val="da-DK"/>
              </w:rPr>
              <w:noBreakHyphen/>
            </w:r>
            <w:r w:rsidRPr="001278B6">
              <w:rPr>
                <w:b/>
                <w:snapToGrid w:val="0"/>
                <w:sz w:val="20"/>
                <w:lang w:val="da-DK"/>
              </w:rPr>
              <w:t>analyse)</w:t>
            </w:r>
            <w:r w:rsidRPr="001278B6">
              <w:rPr>
                <w:b/>
                <w:snapToGrid w:val="0"/>
                <w:sz w:val="20"/>
                <w:vertAlign w:val="superscript"/>
                <w:lang w:val="da-DK"/>
              </w:rPr>
              <w:t>7</w:t>
            </w:r>
          </w:p>
        </w:tc>
      </w:tr>
      <w:tr w:rsidR="003563EF" w:rsidRPr="005476B6" w14:paraId="3E8947EC" w14:textId="77777777" w:rsidTr="00C25944">
        <w:tc>
          <w:tcPr>
            <w:tcW w:w="3094" w:type="dxa"/>
          </w:tcPr>
          <w:p w14:paraId="689871A5"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(måneder)</w:t>
            </w:r>
            <w:r w:rsidRPr="001278B6">
              <w:rPr>
                <w:snapToGrid w:val="0"/>
                <w:sz w:val="20"/>
                <w:vertAlign w:val="superscript"/>
                <w:lang w:val="da-DK"/>
              </w:rPr>
              <w:t>1</w:t>
            </w:r>
          </w:p>
        </w:tc>
        <w:tc>
          <w:tcPr>
            <w:tcW w:w="3094" w:type="dxa"/>
          </w:tcPr>
          <w:p w14:paraId="3B4CBD8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13,3</w:t>
            </w:r>
          </w:p>
        </w:tc>
        <w:tc>
          <w:tcPr>
            <w:tcW w:w="3094" w:type="dxa"/>
          </w:tcPr>
          <w:p w14:paraId="0A10B8A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16,8</w:t>
            </w:r>
          </w:p>
        </w:tc>
      </w:tr>
      <w:tr w:rsidR="003563EF" w:rsidRPr="005476B6" w14:paraId="3FF97717" w14:textId="77777777" w:rsidTr="00C25944">
        <w:tc>
          <w:tcPr>
            <w:tcW w:w="3094" w:type="dxa"/>
          </w:tcPr>
          <w:p w14:paraId="3398ED5F"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D0579E">
              <w:rPr>
                <w:iCs/>
                <w:snapToGrid w:val="0"/>
                <w:sz w:val="20"/>
                <w:lang w:val="da-DK"/>
              </w:rPr>
              <w:t>ratio</w:t>
            </w:r>
            <w:r w:rsidRPr="001278B6">
              <w:rPr>
                <w:snapToGrid w:val="0"/>
                <w:sz w:val="20"/>
                <w:lang w:val="da-DK"/>
              </w:rPr>
              <w:t xml:space="preserve"> (95 %</w:t>
            </w:r>
            <w:r w:rsidR="00D125CB">
              <w:rPr>
                <w:snapToGrid w:val="0"/>
                <w:sz w:val="20"/>
                <w:lang w:val="da-DK"/>
              </w:rPr>
              <w:t xml:space="preserve"> </w:t>
            </w:r>
            <w:r w:rsidRPr="001278B6">
              <w:rPr>
                <w:snapToGrid w:val="0"/>
                <w:sz w:val="20"/>
                <w:lang w:val="da-DK"/>
              </w:rPr>
              <w:t>konfidensinterval)</w:t>
            </w:r>
          </w:p>
        </w:tc>
        <w:tc>
          <w:tcPr>
            <w:tcW w:w="6188" w:type="dxa"/>
            <w:gridSpan w:val="2"/>
          </w:tcPr>
          <w:p w14:paraId="0CD717A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0,76 [0,62; 0,94]</w:t>
            </w:r>
          </w:p>
          <w:p w14:paraId="32B40A3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Pr="001278B6">
              <w:rPr>
                <w:snapToGrid w:val="0"/>
                <w:sz w:val="20"/>
                <w:vertAlign w:val="superscript"/>
                <w:lang w:val="da-DK"/>
              </w:rPr>
              <w:t>5,8</w:t>
            </w:r>
            <w:r w:rsidRPr="001278B6">
              <w:rPr>
                <w:snapToGrid w:val="0"/>
                <w:sz w:val="20"/>
                <w:lang w:val="da-DK"/>
              </w:rPr>
              <w:t>=0,0126)</w:t>
            </w:r>
          </w:p>
        </w:tc>
      </w:tr>
      <w:tr w:rsidR="003563EF" w:rsidRPr="005476B6" w14:paraId="09C55493" w14:textId="77777777" w:rsidTr="00C25944">
        <w:tc>
          <w:tcPr>
            <w:tcW w:w="9282" w:type="dxa"/>
            <w:gridSpan w:val="3"/>
          </w:tcPr>
          <w:p w14:paraId="605A7848" w14:textId="77777777" w:rsidR="003563EF" w:rsidRPr="001278B6" w:rsidRDefault="00473235" w:rsidP="001278B6">
            <w:pPr>
              <w:pStyle w:val="TableParagraph"/>
              <w:widowControl/>
              <w:adjustRightInd w:val="0"/>
              <w:snapToGrid w:val="0"/>
              <w:jc w:val="center"/>
              <w:rPr>
                <w:b/>
                <w:snapToGrid w:val="0"/>
                <w:sz w:val="20"/>
                <w:lang w:val="da-DK"/>
              </w:rPr>
            </w:pPr>
            <w:r w:rsidRPr="001278B6">
              <w:rPr>
                <w:b/>
                <w:snapToGrid w:val="0"/>
                <w:sz w:val="20"/>
                <w:lang w:val="da-DK"/>
              </w:rPr>
              <w:t>Sekundære endepunkter</w:t>
            </w:r>
          </w:p>
        </w:tc>
      </w:tr>
      <w:tr w:rsidR="003563EF" w:rsidRPr="005476B6" w14:paraId="2774973A" w14:textId="77777777" w:rsidTr="00C25944">
        <w:tc>
          <w:tcPr>
            <w:tcW w:w="9282" w:type="dxa"/>
            <w:gridSpan w:val="3"/>
          </w:tcPr>
          <w:p w14:paraId="724A4CE3" w14:textId="77777777" w:rsidR="003563EF" w:rsidRPr="001278B6" w:rsidRDefault="00473235" w:rsidP="001278B6">
            <w:pPr>
              <w:pStyle w:val="TableParagraph"/>
              <w:widowControl/>
              <w:adjustRightInd w:val="0"/>
              <w:snapToGrid w:val="0"/>
              <w:rPr>
                <w:b/>
                <w:snapToGrid w:val="0"/>
                <w:sz w:val="20"/>
                <w:lang w:val="da-DK"/>
              </w:rPr>
            </w:pPr>
            <w:r w:rsidRPr="001278B6">
              <w:rPr>
                <w:b/>
                <w:snapToGrid w:val="0"/>
                <w:sz w:val="20"/>
                <w:lang w:val="da-DK"/>
              </w:rPr>
              <w:t>Progressionsfri overlevelse (primær analyse)</w:t>
            </w:r>
            <w:r w:rsidRPr="001278B6">
              <w:rPr>
                <w:b/>
                <w:snapToGrid w:val="0"/>
                <w:sz w:val="20"/>
                <w:vertAlign w:val="superscript"/>
                <w:lang w:val="da-DK"/>
              </w:rPr>
              <w:t>6</w:t>
            </w:r>
          </w:p>
        </w:tc>
      </w:tr>
      <w:tr w:rsidR="003563EF" w:rsidRPr="005476B6" w14:paraId="76329702" w14:textId="77777777" w:rsidTr="00C25944">
        <w:tc>
          <w:tcPr>
            <w:tcW w:w="3094" w:type="dxa"/>
          </w:tcPr>
          <w:p w14:paraId="3EDA622A" w14:textId="77777777" w:rsidR="003563EF" w:rsidRPr="001278B6" w:rsidRDefault="00473235" w:rsidP="001278B6">
            <w:pPr>
              <w:pStyle w:val="TableParagraph"/>
              <w:widowControl/>
              <w:adjustRightInd w:val="0"/>
              <w:snapToGrid w:val="0"/>
              <w:rPr>
                <w:snapToGrid w:val="0"/>
                <w:sz w:val="20"/>
                <w:lang w:val="da-DK"/>
              </w:rPr>
            </w:pPr>
            <w:r w:rsidRPr="001278B6">
              <w:rPr>
                <w:snapToGrid w:val="0"/>
                <w:sz w:val="20"/>
                <w:lang w:val="da-DK"/>
              </w:rPr>
              <w:t>Median PFS (måneder)</w:t>
            </w:r>
            <w:r w:rsidRPr="001278B6">
              <w:rPr>
                <w:snapToGrid w:val="0"/>
                <w:sz w:val="20"/>
                <w:vertAlign w:val="superscript"/>
                <w:lang w:val="da-DK"/>
              </w:rPr>
              <w:t>1</w:t>
            </w:r>
          </w:p>
        </w:tc>
        <w:tc>
          <w:tcPr>
            <w:tcW w:w="3094" w:type="dxa"/>
          </w:tcPr>
          <w:p w14:paraId="5AF4B3C8"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6,0</w:t>
            </w:r>
          </w:p>
        </w:tc>
        <w:tc>
          <w:tcPr>
            <w:tcW w:w="3094" w:type="dxa"/>
          </w:tcPr>
          <w:p w14:paraId="78A1E74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8,3</w:t>
            </w:r>
          </w:p>
        </w:tc>
      </w:tr>
      <w:tr w:rsidR="003563EF" w:rsidRPr="005476B6" w14:paraId="789CB4A8" w14:textId="77777777" w:rsidTr="00C25944">
        <w:tc>
          <w:tcPr>
            <w:tcW w:w="3094" w:type="dxa"/>
          </w:tcPr>
          <w:p w14:paraId="0DD830A0" w14:textId="77777777" w:rsidR="003563EF" w:rsidRPr="001278B6" w:rsidRDefault="00473235" w:rsidP="001278B6">
            <w:pPr>
              <w:pStyle w:val="TableParagraph"/>
              <w:widowControl/>
              <w:adjustRightInd w:val="0"/>
              <w:snapToGrid w:val="0"/>
              <w:rPr>
                <w:snapToGrid w:val="0"/>
                <w:sz w:val="20"/>
                <w:lang w:val="da-DK"/>
              </w:rPr>
            </w:pPr>
            <w:r w:rsidRPr="00F466A3">
              <w:rPr>
                <w:iCs/>
                <w:snapToGrid w:val="0"/>
                <w:sz w:val="20"/>
                <w:lang w:val="da-DK"/>
              </w:rPr>
              <w:t xml:space="preserve">Hazard </w:t>
            </w:r>
            <w:r w:rsidRPr="001278B6">
              <w:rPr>
                <w:snapToGrid w:val="0"/>
                <w:sz w:val="20"/>
                <w:lang w:val="da-DK"/>
              </w:rPr>
              <w:t>ratio (95 %</w:t>
            </w:r>
            <w:r w:rsidR="00D125CB">
              <w:rPr>
                <w:snapToGrid w:val="0"/>
                <w:sz w:val="20"/>
                <w:lang w:val="da-DK"/>
              </w:rPr>
              <w:t xml:space="preserve"> </w:t>
            </w:r>
            <w:r w:rsidRPr="001278B6">
              <w:rPr>
                <w:snapToGrid w:val="0"/>
                <w:sz w:val="20"/>
                <w:lang w:val="da-DK"/>
              </w:rPr>
              <w:t>konfidensinterval)</w:t>
            </w:r>
          </w:p>
        </w:tc>
        <w:tc>
          <w:tcPr>
            <w:tcW w:w="6188" w:type="dxa"/>
            <w:gridSpan w:val="2"/>
          </w:tcPr>
          <w:p w14:paraId="39CE183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0,66 [0,54; 0,81]</w:t>
            </w:r>
          </w:p>
          <w:p w14:paraId="328377E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(p</w:t>
            </w:r>
            <w:r w:rsidRPr="001278B6">
              <w:rPr>
                <w:snapToGrid w:val="0"/>
                <w:sz w:val="20"/>
                <w:vertAlign w:val="superscript"/>
                <w:lang w:val="da-DK"/>
              </w:rPr>
              <w:t>5</w:t>
            </w:r>
            <w:r w:rsidRPr="001278B6">
              <w:rPr>
                <w:snapToGrid w:val="0"/>
                <w:sz w:val="20"/>
                <w:lang w:val="da-DK"/>
              </w:rPr>
              <w:t>&lt;0,0001)</w:t>
            </w:r>
          </w:p>
        </w:tc>
      </w:tr>
      <w:tr w:rsidR="003563EF" w:rsidRPr="007E69C7" w14:paraId="5286DCDB" w14:textId="77777777" w:rsidTr="00C25944">
        <w:tc>
          <w:tcPr>
            <w:tcW w:w="9282" w:type="dxa"/>
            <w:gridSpan w:val="3"/>
          </w:tcPr>
          <w:p w14:paraId="2ECB9103" w14:textId="77777777" w:rsidR="003563EF" w:rsidRPr="001278B6" w:rsidRDefault="00473235" w:rsidP="00F466A3">
            <w:pPr>
              <w:pStyle w:val="TableParagraph"/>
              <w:keepNext/>
              <w:keepLines/>
              <w:widowControl/>
              <w:adjustRightInd w:val="0"/>
              <w:snapToGrid w:val="0"/>
              <w:rPr>
                <w:b/>
                <w:snapToGrid w:val="0"/>
                <w:sz w:val="20"/>
                <w:lang w:val="da-DK"/>
              </w:rPr>
            </w:pPr>
            <w:r w:rsidRPr="001278B6">
              <w:rPr>
                <w:b/>
                <w:snapToGrid w:val="0"/>
                <w:sz w:val="20"/>
                <w:lang w:val="da-DK"/>
              </w:rPr>
              <w:t>Bedste objektive respons (primær analyse)</w:t>
            </w:r>
            <w:r w:rsidRPr="001278B6">
              <w:rPr>
                <w:b/>
                <w:snapToGrid w:val="0"/>
                <w:sz w:val="20"/>
                <w:vertAlign w:val="superscript"/>
                <w:lang w:val="da-DK"/>
              </w:rPr>
              <w:t>6</w:t>
            </w:r>
          </w:p>
        </w:tc>
      </w:tr>
      <w:tr w:rsidR="003563EF" w:rsidRPr="005476B6" w14:paraId="480EB0D5" w14:textId="77777777" w:rsidTr="00C25944">
        <w:tc>
          <w:tcPr>
            <w:tcW w:w="3094" w:type="dxa"/>
          </w:tcPr>
          <w:p w14:paraId="1AD3A350"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Respondenter (responsrate)</w:t>
            </w:r>
            <w:r w:rsidRPr="001278B6">
              <w:rPr>
                <w:snapToGrid w:val="0"/>
                <w:sz w:val="20"/>
                <w:vertAlign w:val="superscript"/>
                <w:lang w:val="da-DK"/>
              </w:rPr>
              <w:t>2</w:t>
            </w:r>
          </w:p>
        </w:tc>
        <w:tc>
          <w:tcPr>
            <w:tcW w:w="3094" w:type="dxa"/>
          </w:tcPr>
          <w:p w14:paraId="442D012A"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76 (33,8 %)</w:t>
            </w:r>
          </w:p>
        </w:tc>
        <w:tc>
          <w:tcPr>
            <w:tcW w:w="3094" w:type="dxa"/>
          </w:tcPr>
          <w:p w14:paraId="0D927E94"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103 (45,4 %)</w:t>
            </w:r>
          </w:p>
        </w:tc>
      </w:tr>
      <w:tr w:rsidR="003563EF" w:rsidRPr="005476B6" w14:paraId="00C3596C" w14:textId="77777777" w:rsidTr="00C25944">
        <w:tc>
          <w:tcPr>
            <w:tcW w:w="3094" w:type="dxa"/>
          </w:tcPr>
          <w:p w14:paraId="76A2B6A3"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95 % konfidensinterval for</w:t>
            </w:r>
            <w:r w:rsidR="00D125CB">
              <w:rPr>
                <w:snapToGrid w:val="0"/>
                <w:sz w:val="20"/>
                <w:lang w:val="da-DK"/>
              </w:rPr>
              <w:t xml:space="preserve"> </w:t>
            </w:r>
            <w:r w:rsidRPr="001278B6">
              <w:rPr>
                <w:snapToGrid w:val="0"/>
                <w:sz w:val="20"/>
                <w:lang w:val="da-DK"/>
              </w:rPr>
              <w:t>responsrate</w:t>
            </w:r>
            <w:r w:rsidRPr="001278B6">
              <w:rPr>
                <w:snapToGrid w:val="0"/>
                <w:sz w:val="20"/>
                <w:vertAlign w:val="superscript"/>
                <w:lang w:val="da-DK"/>
              </w:rPr>
              <w:t>3</w:t>
            </w:r>
          </w:p>
        </w:tc>
        <w:tc>
          <w:tcPr>
            <w:tcW w:w="3094" w:type="dxa"/>
          </w:tcPr>
          <w:p w14:paraId="5B45948F"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[27,6%; 40,4%]</w:t>
            </w:r>
          </w:p>
        </w:tc>
        <w:tc>
          <w:tcPr>
            <w:tcW w:w="3094" w:type="dxa"/>
          </w:tcPr>
          <w:p w14:paraId="176109D8"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[38,8%; 52,1%]</w:t>
            </w:r>
          </w:p>
        </w:tc>
      </w:tr>
      <w:tr w:rsidR="003563EF" w:rsidRPr="005476B6" w14:paraId="6437607B" w14:textId="77777777" w:rsidTr="00C25944">
        <w:tc>
          <w:tcPr>
            <w:tcW w:w="3094" w:type="dxa"/>
          </w:tcPr>
          <w:p w14:paraId="614A2F51"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Forskel i responsrate</w:t>
            </w:r>
          </w:p>
        </w:tc>
        <w:tc>
          <w:tcPr>
            <w:tcW w:w="6188" w:type="dxa"/>
            <w:gridSpan w:val="2"/>
          </w:tcPr>
          <w:p w14:paraId="76062146"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11,60 %</w:t>
            </w:r>
          </w:p>
        </w:tc>
      </w:tr>
      <w:tr w:rsidR="003563EF" w:rsidRPr="005476B6" w14:paraId="2C1AADC8" w14:textId="77777777" w:rsidTr="00C25944">
        <w:tc>
          <w:tcPr>
            <w:tcW w:w="3094" w:type="dxa"/>
          </w:tcPr>
          <w:p w14:paraId="3B7D37CF" w14:textId="77777777" w:rsidR="003563EF" w:rsidRPr="001278B6" w:rsidRDefault="00473235" w:rsidP="00F466A3">
            <w:pPr>
              <w:pStyle w:val="TableParagraph"/>
              <w:keepNext/>
              <w:keepLines/>
              <w:widowControl/>
              <w:adjustRightInd w:val="0"/>
              <w:snapToGrid w:val="0"/>
              <w:rPr>
                <w:snapToGrid w:val="0"/>
                <w:sz w:val="20"/>
                <w:lang w:val="da-DK"/>
              </w:rPr>
            </w:pPr>
            <w:r w:rsidRPr="001278B6">
              <w:rPr>
                <w:snapToGrid w:val="0"/>
                <w:sz w:val="20"/>
                <w:lang w:val="da-DK"/>
              </w:rPr>
              <w:t>95 % konfidensinterval for</w:t>
            </w:r>
            <w:r w:rsidR="00D125CB">
              <w:rPr>
                <w:snapToGrid w:val="0"/>
                <w:sz w:val="20"/>
                <w:lang w:val="da-DK"/>
              </w:rPr>
              <w:t xml:space="preserve"> </w:t>
            </w:r>
            <w:r w:rsidRPr="001278B6">
              <w:rPr>
                <w:snapToGrid w:val="0"/>
                <w:sz w:val="20"/>
                <w:lang w:val="da-DK"/>
              </w:rPr>
              <w:t>forskel på responsrate</w:t>
            </w:r>
            <w:r w:rsidRPr="001278B6">
              <w:rPr>
                <w:snapToGrid w:val="0"/>
                <w:sz w:val="20"/>
                <w:vertAlign w:val="superscript"/>
                <w:lang w:val="da-DK"/>
              </w:rPr>
              <w:t>4</w:t>
            </w:r>
          </w:p>
        </w:tc>
        <w:tc>
          <w:tcPr>
            <w:tcW w:w="6188" w:type="dxa"/>
            <w:gridSpan w:val="2"/>
          </w:tcPr>
          <w:p w14:paraId="4DD2D3F8"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[2,4%; 20,8%]</w:t>
            </w:r>
          </w:p>
        </w:tc>
      </w:tr>
      <w:tr w:rsidR="003563EF" w:rsidRPr="005476B6" w14:paraId="1C8E31FA" w14:textId="77777777" w:rsidTr="00C25944">
        <w:tc>
          <w:tcPr>
            <w:tcW w:w="3094" w:type="dxa"/>
          </w:tcPr>
          <w:p w14:paraId="16899F96" w14:textId="5F8529A8" w:rsidR="003563EF" w:rsidRPr="001278B6" w:rsidRDefault="004751F2" w:rsidP="00F466A3">
            <w:pPr>
              <w:pStyle w:val="TableParagraph"/>
              <w:keepNext/>
              <w:keepLines/>
              <w:widowControl/>
              <w:adjustRightInd w:val="0"/>
              <w:snapToGrid w:val="0"/>
              <w:rPr>
                <w:snapToGrid w:val="0"/>
                <w:sz w:val="20"/>
                <w:lang w:val="da-DK"/>
              </w:rPr>
            </w:pPr>
            <w:r w:rsidRPr="001278B6">
              <w:rPr>
                <w:snapToGrid w:val="0"/>
                <w:sz w:val="20"/>
                <w:lang w:val="da-DK"/>
              </w:rPr>
              <w:t>p</w:t>
            </w:r>
            <w:r>
              <w:rPr>
                <w:snapToGrid w:val="0"/>
                <w:sz w:val="20"/>
                <w:lang w:val="da-DK"/>
              </w:rPr>
              <w:noBreakHyphen/>
            </w:r>
            <w:r w:rsidRPr="001278B6">
              <w:rPr>
                <w:snapToGrid w:val="0"/>
                <w:sz w:val="20"/>
                <w:lang w:val="da-DK"/>
              </w:rPr>
              <w:t>værdi</w:t>
            </w:r>
            <w:r w:rsidR="00473235" w:rsidRPr="001278B6">
              <w:rPr>
                <w:snapToGrid w:val="0"/>
                <w:sz w:val="20"/>
                <w:lang w:val="da-DK"/>
              </w:rPr>
              <w:t xml:space="preserve"> (</w:t>
            </w:r>
            <w:r>
              <w:rPr>
                <w:snapToGrid w:val="0"/>
                <w:sz w:val="20"/>
                <w:lang w:val="da-DK"/>
              </w:rPr>
              <w:t>c</w:t>
            </w:r>
            <w:r w:rsidR="00473235" w:rsidRPr="001278B6">
              <w:rPr>
                <w:snapToGrid w:val="0"/>
                <w:sz w:val="20"/>
                <w:lang w:val="da-DK"/>
              </w:rPr>
              <w:t>hi</w:t>
            </w:r>
            <w:r w:rsidR="00473235" w:rsidRPr="001278B6">
              <w:rPr>
                <w:snapToGrid w:val="0"/>
                <w:sz w:val="20"/>
                <w:vertAlign w:val="superscript"/>
                <w:lang w:val="da-DK"/>
              </w:rPr>
              <w:t>2</w:t>
            </w:r>
            <w:r w:rsidR="00473235" w:rsidRPr="001278B6">
              <w:rPr>
                <w:snapToGrid w:val="0"/>
                <w:sz w:val="20"/>
                <w:lang w:val="da-DK"/>
              </w:rPr>
              <w:t xml:space="preserve"> test)</w:t>
            </w:r>
          </w:p>
        </w:tc>
        <w:tc>
          <w:tcPr>
            <w:tcW w:w="6188" w:type="dxa"/>
            <w:gridSpan w:val="2"/>
          </w:tcPr>
          <w:p w14:paraId="38BBED5F" w14:textId="77777777" w:rsidR="003563EF" w:rsidRPr="001278B6" w:rsidRDefault="00473235" w:rsidP="00F466A3">
            <w:pPr>
              <w:pStyle w:val="TableParagraph"/>
              <w:keepNext/>
              <w:keepLines/>
              <w:widowControl/>
              <w:adjustRightInd w:val="0"/>
              <w:snapToGrid w:val="0"/>
              <w:jc w:val="center"/>
              <w:rPr>
                <w:snapToGrid w:val="0"/>
                <w:sz w:val="20"/>
                <w:lang w:val="da-DK"/>
              </w:rPr>
            </w:pPr>
            <w:r w:rsidRPr="001278B6">
              <w:rPr>
                <w:snapToGrid w:val="0"/>
                <w:sz w:val="20"/>
                <w:lang w:val="da-DK"/>
              </w:rPr>
              <w:t>0,0117</w:t>
            </w:r>
          </w:p>
        </w:tc>
      </w:tr>
    </w:tbl>
    <w:p w14:paraId="161FFCD8"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1</w:t>
      </w:r>
      <w:r w:rsidRPr="001278B6">
        <w:rPr>
          <w:snapToGrid w:val="0"/>
          <w:sz w:val="18"/>
          <w:szCs w:val="18"/>
          <w:lang w:val="da-DK"/>
        </w:rPr>
        <w:t xml:space="preserve"> Kaplan</w:t>
      </w:r>
      <w:r w:rsidR="004B3750">
        <w:rPr>
          <w:snapToGrid w:val="0"/>
          <w:sz w:val="18"/>
          <w:szCs w:val="18"/>
          <w:lang w:val="da-DK"/>
        </w:rPr>
        <w:noBreakHyphen/>
      </w:r>
      <w:r w:rsidRPr="001278B6">
        <w:rPr>
          <w:snapToGrid w:val="0"/>
          <w:sz w:val="18"/>
          <w:szCs w:val="18"/>
          <w:lang w:val="da-DK"/>
        </w:rPr>
        <w:t>Meier</w:t>
      </w:r>
      <w:r w:rsidR="004B3750">
        <w:rPr>
          <w:snapToGrid w:val="0"/>
          <w:sz w:val="18"/>
          <w:szCs w:val="18"/>
          <w:lang w:val="da-DK"/>
        </w:rPr>
        <w:noBreakHyphen/>
      </w:r>
      <w:r w:rsidRPr="001278B6">
        <w:rPr>
          <w:snapToGrid w:val="0"/>
          <w:sz w:val="18"/>
          <w:szCs w:val="18"/>
          <w:lang w:val="da-DK"/>
        </w:rPr>
        <w:t>estimater</w:t>
      </w:r>
    </w:p>
    <w:p w14:paraId="6433A6B6" w14:textId="77777777" w:rsidR="003563EF" w:rsidRPr="001278B6" w:rsidRDefault="00473235" w:rsidP="001278B6">
      <w:pPr>
        <w:widowControl/>
        <w:adjustRightInd w:val="0"/>
        <w:snapToGrid w:val="0"/>
        <w:rPr>
          <w:i/>
          <w:snapToGrid w:val="0"/>
          <w:sz w:val="18"/>
          <w:szCs w:val="18"/>
          <w:lang w:val="da-DK"/>
        </w:rPr>
      </w:pPr>
      <w:r w:rsidRPr="001278B6">
        <w:rPr>
          <w:snapToGrid w:val="0"/>
          <w:sz w:val="18"/>
          <w:szCs w:val="18"/>
          <w:vertAlign w:val="superscript"/>
          <w:lang w:val="da-DK"/>
        </w:rPr>
        <w:t>2</w:t>
      </w:r>
      <w:r w:rsidRPr="001278B6">
        <w:rPr>
          <w:snapToGrid w:val="0"/>
          <w:sz w:val="18"/>
          <w:szCs w:val="18"/>
          <w:lang w:val="da-DK"/>
        </w:rPr>
        <w:t xml:space="preserve"> Patienter og procentdel af patienter med det bedste objektive respons bekræftet komplet respons eller partielt respons; procent beregnet på grundlag af patienter med målbar sygdom ved </w:t>
      </w:r>
      <w:r w:rsidRPr="001278B6">
        <w:rPr>
          <w:i/>
          <w:snapToGrid w:val="0"/>
          <w:sz w:val="18"/>
          <w:szCs w:val="18"/>
          <w:lang w:val="da-DK"/>
        </w:rPr>
        <w:t>baseline</w:t>
      </w:r>
    </w:p>
    <w:p w14:paraId="2C8F6F75"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3</w:t>
      </w:r>
      <w:r w:rsidRPr="001278B6">
        <w:rPr>
          <w:snapToGrid w:val="0"/>
          <w:sz w:val="18"/>
          <w:szCs w:val="18"/>
          <w:lang w:val="da-DK"/>
        </w:rPr>
        <w:t xml:space="preserve"> 95 % konfidensinterval for </w:t>
      </w:r>
      <w:r w:rsidRPr="001278B6">
        <w:rPr>
          <w:i/>
          <w:snapToGrid w:val="0"/>
          <w:sz w:val="18"/>
          <w:szCs w:val="18"/>
          <w:lang w:val="da-DK"/>
        </w:rPr>
        <w:t xml:space="preserve">one sample binomial </w:t>
      </w:r>
      <w:r w:rsidRPr="001278B6">
        <w:rPr>
          <w:snapToGrid w:val="0"/>
          <w:sz w:val="18"/>
          <w:szCs w:val="18"/>
          <w:lang w:val="da-DK"/>
        </w:rPr>
        <w:t>ved brug af Pearson</w:t>
      </w:r>
      <w:r w:rsidR="004B3750">
        <w:rPr>
          <w:snapToGrid w:val="0"/>
          <w:sz w:val="18"/>
          <w:szCs w:val="18"/>
          <w:lang w:val="da-DK"/>
        </w:rPr>
        <w:noBreakHyphen/>
      </w:r>
      <w:r w:rsidRPr="001278B6">
        <w:rPr>
          <w:snapToGrid w:val="0"/>
          <w:sz w:val="18"/>
          <w:szCs w:val="18"/>
          <w:lang w:val="da-DK"/>
        </w:rPr>
        <w:t>Clopper metoden</w:t>
      </w:r>
    </w:p>
    <w:p w14:paraId="15B39F18"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4</w:t>
      </w:r>
      <w:r w:rsidRPr="001278B6">
        <w:rPr>
          <w:snapToGrid w:val="0"/>
          <w:sz w:val="18"/>
          <w:szCs w:val="18"/>
          <w:lang w:val="da-DK"/>
        </w:rPr>
        <w:t xml:space="preserve"> Ca. 95 % konfidensinterval for forskel mellem to rater ved brug af Hauck</w:t>
      </w:r>
      <w:r w:rsidR="004B3750">
        <w:rPr>
          <w:snapToGrid w:val="0"/>
          <w:sz w:val="18"/>
          <w:szCs w:val="18"/>
          <w:lang w:val="da-DK"/>
        </w:rPr>
        <w:noBreakHyphen/>
      </w:r>
      <w:r w:rsidRPr="001278B6">
        <w:rPr>
          <w:snapToGrid w:val="0"/>
          <w:sz w:val="18"/>
          <w:szCs w:val="18"/>
          <w:lang w:val="da-DK"/>
        </w:rPr>
        <w:t>Anderson metoden</w:t>
      </w:r>
    </w:p>
    <w:p w14:paraId="26EB090D"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5</w:t>
      </w:r>
      <w:r w:rsidRPr="001278B6">
        <w:rPr>
          <w:snapToGrid w:val="0"/>
          <w:sz w:val="18"/>
          <w:szCs w:val="18"/>
          <w:lang w:val="da-DK"/>
        </w:rPr>
        <w:t xml:space="preserve"> log</w:t>
      </w:r>
      <w:r w:rsidR="004B3750">
        <w:rPr>
          <w:snapToGrid w:val="0"/>
          <w:sz w:val="18"/>
          <w:szCs w:val="18"/>
          <w:lang w:val="da-DK"/>
        </w:rPr>
        <w:noBreakHyphen/>
      </w:r>
      <w:r w:rsidRPr="001278B6">
        <w:rPr>
          <w:snapToGrid w:val="0"/>
          <w:sz w:val="18"/>
          <w:szCs w:val="18"/>
          <w:lang w:val="da-DK"/>
        </w:rPr>
        <w:t>rank</w:t>
      </w:r>
      <w:r w:rsidR="004B3750">
        <w:rPr>
          <w:snapToGrid w:val="0"/>
          <w:sz w:val="18"/>
          <w:szCs w:val="18"/>
          <w:lang w:val="da-DK"/>
        </w:rPr>
        <w:noBreakHyphen/>
      </w:r>
      <w:r w:rsidRPr="001278B6">
        <w:rPr>
          <w:snapToGrid w:val="0"/>
          <w:sz w:val="18"/>
          <w:szCs w:val="18"/>
          <w:lang w:val="da-DK"/>
        </w:rPr>
        <w:t>test (stratificeret)</w:t>
      </w:r>
    </w:p>
    <w:p w14:paraId="21C70D71"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6</w:t>
      </w:r>
      <w:r w:rsidRPr="001278B6">
        <w:rPr>
          <w:snapToGrid w:val="0"/>
          <w:sz w:val="18"/>
          <w:szCs w:val="18"/>
          <w:lang w:val="da-DK"/>
        </w:rPr>
        <w:t xml:space="preserve"> Primær</w:t>
      </w:r>
      <w:r w:rsidR="004B3750">
        <w:rPr>
          <w:snapToGrid w:val="0"/>
          <w:sz w:val="18"/>
          <w:szCs w:val="18"/>
          <w:lang w:val="da-DK"/>
        </w:rPr>
        <w:noBreakHyphen/>
      </w:r>
      <w:r w:rsidRPr="001278B6">
        <w:rPr>
          <w:snapToGrid w:val="0"/>
          <w:sz w:val="18"/>
          <w:szCs w:val="18"/>
          <w:lang w:val="da-DK"/>
        </w:rPr>
        <w:t xml:space="preserve">analyse blev udført ved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12. december 2012 og betragtes som den endelige analyse</w:t>
      </w:r>
    </w:p>
    <w:p w14:paraId="6C5B7A18"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7</w:t>
      </w:r>
      <w:r w:rsidRPr="001278B6">
        <w:rPr>
          <w:snapToGrid w:val="0"/>
          <w:sz w:val="18"/>
          <w:szCs w:val="18"/>
          <w:lang w:val="da-DK"/>
        </w:rPr>
        <w:t xml:space="preserve"> Followup</w:t>
      </w:r>
      <w:r w:rsidR="004B3750">
        <w:rPr>
          <w:snapToGrid w:val="0"/>
          <w:sz w:val="18"/>
          <w:szCs w:val="18"/>
          <w:lang w:val="da-DK"/>
        </w:rPr>
        <w:noBreakHyphen/>
      </w:r>
      <w:r w:rsidRPr="001278B6">
        <w:rPr>
          <w:snapToGrid w:val="0"/>
          <w:sz w:val="18"/>
          <w:szCs w:val="18"/>
          <w:lang w:val="da-DK"/>
        </w:rPr>
        <w:t xml:space="preserve">analyse blev udført ved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7. marts 2014</w:t>
      </w:r>
    </w:p>
    <w:p w14:paraId="0C67E6F4"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8</w:t>
      </w:r>
      <w:r w:rsidRPr="001278B6">
        <w:rPr>
          <w:snapToGrid w:val="0"/>
          <w:sz w:val="18"/>
          <w:szCs w:val="18"/>
          <w:lang w:val="da-DK"/>
        </w:rPr>
        <w:t xml:space="preserve"> p</w:t>
      </w:r>
      <w:r w:rsidR="004B3750">
        <w:rPr>
          <w:snapToGrid w:val="0"/>
          <w:sz w:val="18"/>
          <w:szCs w:val="18"/>
          <w:lang w:val="da-DK"/>
        </w:rPr>
        <w:noBreakHyphen/>
      </w:r>
      <w:r w:rsidRPr="001278B6">
        <w:rPr>
          <w:snapToGrid w:val="0"/>
          <w:sz w:val="18"/>
          <w:szCs w:val="18"/>
          <w:lang w:val="da-DK"/>
        </w:rPr>
        <w:t>værdi er kun vist for oplysende formål</w:t>
      </w:r>
    </w:p>
    <w:p w14:paraId="0913D86A" w14:textId="77777777" w:rsidR="003563EF" w:rsidRPr="001278B6" w:rsidRDefault="003563EF" w:rsidP="001278B6">
      <w:pPr>
        <w:pStyle w:val="a3"/>
        <w:widowControl/>
        <w:adjustRightInd w:val="0"/>
        <w:snapToGrid w:val="0"/>
        <w:rPr>
          <w:snapToGrid w:val="0"/>
          <w:lang w:val="da-DK"/>
        </w:rPr>
      </w:pPr>
    </w:p>
    <w:p w14:paraId="59620FB5" w14:textId="17D80A29" w:rsidR="003563EF" w:rsidRPr="00E85219" w:rsidRDefault="00473235" w:rsidP="00E85219">
      <w:pPr>
        <w:ind w:left="1134" w:hanging="1134"/>
        <w:rPr>
          <w:b/>
          <w:bCs/>
          <w:snapToGrid w:val="0"/>
          <w:lang w:val="da-DK"/>
        </w:rPr>
      </w:pPr>
      <w:r w:rsidRPr="00E85219">
        <w:rPr>
          <w:b/>
          <w:bCs/>
          <w:snapToGrid w:val="0"/>
          <w:lang w:val="da-DK"/>
        </w:rPr>
        <w:t>Tabel 26</w:t>
      </w:r>
      <w:r w:rsidR="00A95F2C" w:rsidRPr="00E85219">
        <w:rPr>
          <w:b/>
          <w:bCs/>
          <w:snapToGrid w:val="0"/>
          <w:lang w:val="da-DK"/>
        </w:rPr>
        <w:t>.</w:t>
      </w:r>
      <w:r w:rsidR="00E85219">
        <w:rPr>
          <w:rFonts w:eastAsia="맑은 고딕"/>
          <w:b/>
          <w:bCs/>
          <w:snapToGrid w:val="0"/>
          <w:lang w:val="da-DK" w:eastAsia="ko-KR"/>
        </w:rPr>
        <w:tab/>
      </w:r>
      <w:r w:rsidRPr="00E85219">
        <w:rPr>
          <w:b/>
          <w:bCs/>
          <w:snapToGrid w:val="0"/>
          <w:lang w:val="da-DK"/>
        </w:rPr>
        <w:t>Resultater for samlet overlevelse fra studie GOG</w:t>
      </w:r>
      <w:r w:rsidR="004B3750" w:rsidRPr="00E85219">
        <w:rPr>
          <w:b/>
          <w:bCs/>
          <w:snapToGrid w:val="0"/>
          <w:lang w:val="da-DK"/>
        </w:rPr>
        <w:noBreakHyphen/>
      </w:r>
      <w:r w:rsidRPr="00E85219">
        <w:rPr>
          <w:b/>
          <w:bCs/>
          <w:snapToGrid w:val="0"/>
          <w:lang w:val="da-DK"/>
        </w:rPr>
        <w:t>0240 med forsøgsbehandling</w:t>
      </w:r>
    </w:p>
    <w:p w14:paraId="22016B3F" w14:textId="77777777" w:rsidR="0092341E" w:rsidRPr="001278B6" w:rsidRDefault="0092341E" w:rsidP="00747393">
      <w:pPr>
        <w:rPr>
          <w:snapToGrid w:val="0"/>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307"/>
        <w:gridCol w:w="3248"/>
        <w:gridCol w:w="3217"/>
      </w:tblGrid>
      <w:tr w:rsidR="003563EF" w:rsidRPr="007E69C7" w14:paraId="74E94D8E" w14:textId="77777777" w:rsidTr="00F466A3">
        <w:trPr>
          <w:cantSplit/>
        </w:trPr>
        <w:tc>
          <w:tcPr>
            <w:tcW w:w="1323" w:type="dxa"/>
          </w:tcPr>
          <w:p w14:paraId="2B7C1738" w14:textId="77777777" w:rsidR="003563EF" w:rsidRPr="001278B6" w:rsidRDefault="00473235" w:rsidP="001278B6">
            <w:pPr>
              <w:pStyle w:val="TableParagraph"/>
              <w:keepNext/>
              <w:widowControl/>
              <w:adjustRightInd w:val="0"/>
              <w:snapToGrid w:val="0"/>
              <w:rPr>
                <w:snapToGrid w:val="0"/>
                <w:sz w:val="20"/>
                <w:lang w:val="da-DK"/>
              </w:rPr>
            </w:pPr>
            <w:r w:rsidRPr="001278B6">
              <w:rPr>
                <w:snapToGrid w:val="0"/>
                <w:sz w:val="20"/>
                <w:lang w:val="da-DK"/>
              </w:rPr>
              <w:t>Behandlings</w:t>
            </w:r>
            <w:r w:rsidRPr="001278B6">
              <w:rPr>
                <w:snapToGrid w:val="0"/>
                <w:sz w:val="18"/>
                <w:szCs w:val="20"/>
                <w:lang w:val="da-DK"/>
              </w:rPr>
              <w:t xml:space="preserve">- </w:t>
            </w:r>
            <w:r w:rsidRPr="001278B6">
              <w:rPr>
                <w:snapToGrid w:val="0"/>
                <w:sz w:val="20"/>
                <w:lang w:val="da-DK"/>
              </w:rPr>
              <w:t>sammen- ligning</w:t>
            </w:r>
          </w:p>
        </w:tc>
        <w:tc>
          <w:tcPr>
            <w:tcW w:w="1337" w:type="dxa"/>
            <w:vAlign w:val="bottom"/>
          </w:tcPr>
          <w:p w14:paraId="5293962F" w14:textId="77777777" w:rsidR="003563EF" w:rsidRPr="001278B6" w:rsidRDefault="00473235" w:rsidP="001278B6">
            <w:pPr>
              <w:pStyle w:val="TableParagraph"/>
              <w:keepNext/>
              <w:widowControl/>
              <w:adjustRightInd w:val="0"/>
              <w:snapToGrid w:val="0"/>
              <w:jc w:val="center"/>
              <w:rPr>
                <w:snapToGrid w:val="0"/>
                <w:sz w:val="20"/>
                <w:lang w:val="da-DK"/>
              </w:rPr>
            </w:pPr>
            <w:r w:rsidRPr="001278B6">
              <w:rPr>
                <w:snapToGrid w:val="0"/>
                <w:sz w:val="20"/>
                <w:lang w:val="da-DK"/>
              </w:rPr>
              <w:t>Anden faktor</w:t>
            </w:r>
          </w:p>
        </w:tc>
        <w:tc>
          <w:tcPr>
            <w:tcW w:w="3332" w:type="dxa"/>
            <w:vAlign w:val="bottom"/>
          </w:tcPr>
          <w:p w14:paraId="02F576EC" w14:textId="129BEEA5" w:rsidR="003563EF" w:rsidRPr="001278B6" w:rsidRDefault="00473235" w:rsidP="001278B6">
            <w:pPr>
              <w:pStyle w:val="TableParagraph"/>
              <w:keepNext/>
              <w:widowControl/>
              <w:adjustRightInd w:val="0"/>
              <w:snapToGrid w:val="0"/>
              <w:jc w:val="center"/>
              <w:rPr>
                <w:snapToGrid w:val="0"/>
                <w:sz w:val="20"/>
                <w:lang w:val="da-DK"/>
              </w:rPr>
            </w:pPr>
            <w:r w:rsidRPr="001278B6">
              <w:rPr>
                <w:snapToGrid w:val="0"/>
                <w:sz w:val="20"/>
                <w:lang w:val="da-DK"/>
              </w:rPr>
              <w:t xml:space="preserve">Samlet overlevelse – </w:t>
            </w:r>
            <w:r w:rsidR="004751F2">
              <w:rPr>
                <w:snapToGrid w:val="0"/>
                <w:sz w:val="20"/>
                <w:lang w:val="da-DK"/>
              </w:rPr>
              <w:t>p</w:t>
            </w:r>
            <w:r w:rsidRPr="001278B6">
              <w:rPr>
                <w:snapToGrid w:val="0"/>
                <w:sz w:val="20"/>
                <w:lang w:val="da-DK"/>
              </w:rPr>
              <w:t>rimær analyse</w:t>
            </w:r>
            <w:r w:rsidRPr="001278B6">
              <w:rPr>
                <w:snapToGrid w:val="0"/>
                <w:sz w:val="20"/>
                <w:vertAlign w:val="superscript"/>
                <w:lang w:val="da-DK"/>
              </w:rPr>
              <w:t>1</w:t>
            </w:r>
          </w:p>
          <w:p w14:paraId="1DDFFA27" w14:textId="77777777" w:rsidR="003563EF" w:rsidRPr="001278B6" w:rsidRDefault="00473235" w:rsidP="001278B6">
            <w:pPr>
              <w:pStyle w:val="TableParagraph"/>
              <w:keepNext/>
              <w:widowControl/>
              <w:adjustRightInd w:val="0"/>
              <w:snapToGrid w:val="0"/>
              <w:jc w:val="center"/>
              <w:rPr>
                <w:snapToGrid w:val="0"/>
                <w:sz w:val="20"/>
                <w:lang w:val="da-DK"/>
              </w:rPr>
            </w:pPr>
            <w:r w:rsidRPr="00F466A3">
              <w:rPr>
                <w:iCs/>
                <w:snapToGrid w:val="0"/>
                <w:sz w:val="20"/>
                <w:lang w:val="da-DK"/>
              </w:rPr>
              <w:t xml:space="preserve">Hazard </w:t>
            </w:r>
            <w:r w:rsidRPr="00D0579E">
              <w:rPr>
                <w:iCs/>
                <w:snapToGrid w:val="0"/>
                <w:sz w:val="20"/>
                <w:lang w:val="da-DK"/>
              </w:rPr>
              <w:t>ratio</w:t>
            </w:r>
            <w:r w:rsidRPr="001278B6">
              <w:rPr>
                <w:snapToGrid w:val="0"/>
                <w:sz w:val="20"/>
                <w:lang w:val="da-DK"/>
              </w:rPr>
              <w:t xml:space="preserve"> (95% konfidensinterval)</w:t>
            </w:r>
          </w:p>
        </w:tc>
        <w:tc>
          <w:tcPr>
            <w:tcW w:w="3300" w:type="dxa"/>
          </w:tcPr>
          <w:p w14:paraId="348C6969" w14:textId="031EF6E7" w:rsidR="003563EF" w:rsidRPr="001278B6" w:rsidRDefault="00473235" w:rsidP="001278B6">
            <w:pPr>
              <w:pStyle w:val="TableParagraph"/>
              <w:keepNext/>
              <w:widowControl/>
              <w:adjustRightInd w:val="0"/>
              <w:snapToGrid w:val="0"/>
              <w:jc w:val="center"/>
              <w:rPr>
                <w:snapToGrid w:val="0"/>
                <w:sz w:val="20"/>
                <w:lang w:val="da-DK"/>
              </w:rPr>
            </w:pPr>
            <w:r w:rsidRPr="001278B6">
              <w:rPr>
                <w:snapToGrid w:val="0"/>
                <w:sz w:val="20"/>
                <w:lang w:val="da-DK"/>
              </w:rPr>
              <w:t>Samlet overlevelse -</w:t>
            </w:r>
            <w:r w:rsidR="00D33D67">
              <w:rPr>
                <w:snapToGrid w:val="0"/>
                <w:sz w:val="20"/>
                <w:lang w:val="da-DK"/>
              </w:rPr>
              <w:t>f</w:t>
            </w:r>
            <w:r w:rsidRPr="001278B6">
              <w:rPr>
                <w:snapToGrid w:val="0"/>
                <w:sz w:val="20"/>
                <w:lang w:val="da-DK"/>
              </w:rPr>
              <w:t>ollowup- analyse</w:t>
            </w:r>
            <w:r w:rsidRPr="001278B6">
              <w:rPr>
                <w:snapToGrid w:val="0"/>
                <w:sz w:val="20"/>
                <w:vertAlign w:val="superscript"/>
                <w:lang w:val="da-DK"/>
              </w:rPr>
              <w:t>2</w:t>
            </w:r>
          </w:p>
          <w:p w14:paraId="09B4B751" w14:textId="77777777" w:rsidR="003563EF" w:rsidRPr="001278B6" w:rsidRDefault="00473235" w:rsidP="001278B6">
            <w:pPr>
              <w:pStyle w:val="TableParagraph"/>
              <w:keepNext/>
              <w:widowControl/>
              <w:adjustRightInd w:val="0"/>
              <w:snapToGrid w:val="0"/>
              <w:jc w:val="center"/>
              <w:rPr>
                <w:snapToGrid w:val="0"/>
                <w:sz w:val="20"/>
                <w:lang w:val="da-DK"/>
              </w:rPr>
            </w:pPr>
            <w:r w:rsidRPr="00F466A3">
              <w:rPr>
                <w:iCs/>
                <w:snapToGrid w:val="0"/>
                <w:sz w:val="20"/>
                <w:lang w:val="da-DK"/>
              </w:rPr>
              <w:t xml:space="preserve">Hazard </w:t>
            </w:r>
            <w:r w:rsidRPr="00D0579E">
              <w:rPr>
                <w:iCs/>
                <w:snapToGrid w:val="0"/>
                <w:sz w:val="20"/>
                <w:lang w:val="da-DK"/>
              </w:rPr>
              <w:t>ratio</w:t>
            </w:r>
            <w:r w:rsidRPr="001278B6">
              <w:rPr>
                <w:snapToGrid w:val="0"/>
                <w:sz w:val="20"/>
                <w:lang w:val="da-DK"/>
              </w:rPr>
              <w:t xml:space="preserve"> (95% konfidensinterval)</w:t>
            </w:r>
          </w:p>
        </w:tc>
      </w:tr>
      <w:tr w:rsidR="003563EF" w:rsidRPr="005476B6" w14:paraId="50936AB4" w14:textId="77777777" w:rsidTr="00F466A3">
        <w:trPr>
          <w:cantSplit/>
        </w:trPr>
        <w:tc>
          <w:tcPr>
            <w:tcW w:w="1323" w:type="dxa"/>
            <w:vMerge w:val="restart"/>
          </w:tcPr>
          <w:p w14:paraId="35512417" w14:textId="5A53A676" w:rsidR="003563EF" w:rsidRPr="001278B6" w:rsidRDefault="00B25D9F" w:rsidP="001278B6">
            <w:pPr>
              <w:pStyle w:val="TableParagraph"/>
              <w:widowControl/>
              <w:adjustRightInd w:val="0"/>
              <w:snapToGrid w:val="0"/>
              <w:rPr>
                <w:snapToGrid w:val="0"/>
                <w:sz w:val="20"/>
                <w:lang w:val="da-DK"/>
              </w:rPr>
            </w:pPr>
            <w:r>
              <w:rPr>
                <w:snapToGrid w:val="0"/>
                <w:lang w:val="da-DK"/>
              </w:rPr>
              <w:t>Bevacizumab</w:t>
            </w:r>
            <w:r w:rsidR="00473235" w:rsidRPr="001278B6">
              <w:rPr>
                <w:snapToGrid w:val="0"/>
                <w:sz w:val="20"/>
                <w:lang w:val="da-DK"/>
              </w:rPr>
              <w:t xml:space="preserve"> </w:t>
            </w:r>
            <w:r w:rsidR="00473235" w:rsidRPr="001278B6">
              <w:rPr>
                <w:i/>
                <w:snapToGrid w:val="0"/>
                <w:sz w:val="20"/>
                <w:lang w:val="da-DK"/>
              </w:rPr>
              <w:t xml:space="preserve">vs </w:t>
            </w:r>
            <w:r w:rsidR="00473235" w:rsidRPr="001278B6">
              <w:rPr>
                <w:snapToGrid w:val="0"/>
                <w:sz w:val="20"/>
                <w:lang w:val="da-DK"/>
              </w:rPr>
              <w:t xml:space="preserve">ingen </w:t>
            </w:r>
            <w:r w:rsidR="00FE7FC1" w:rsidRPr="00FE7FC1">
              <w:rPr>
                <w:snapToGrid w:val="0"/>
                <w:sz w:val="20"/>
                <w:lang w:val="da-DK"/>
              </w:rPr>
              <w:t>Bevacizumab</w:t>
            </w:r>
          </w:p>
        </w:tc>
        <w:tc>
          <w:tcPr>
            <w:tcW w:w="1337" w:type="dxa"/>
          </w:tcPr>
          <w:p w14:paraId="04E2689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Cisplatin+ Paclitaxel</w:t>
            </w:r>
          </w:p>
        </w:tc>
        <w:tc>
          <w:tcPr>
            <w:tcW w:w="3332" w:type="dxa"/>
          </w:tcPr>
          <w:p w14:paraId="7CD3215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0,72 (0,51; 1,02)</w:t>
            </w:r>
          </w:p>
          <w:p w14:paraId="4AB351E3"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(17,5 </w:t>
            </w:r>
            <w:r w:rsidRPr="001278B6">
              <w:rPr>
                <w:i/>
                <w:snapToGrid w:val="0"/>
                <w:sz w:val="20"/>
                <w:lang w:val="da-DK"/>
              </w:rPr>
              <w:t xml:space="preserve">vs </w:t>
            </w:r>
            <w:r w:rsidRPr="001278B6">
              <w:rPr>
                <w:snapToGrid w:val="0"/>
                <w:sz w:val="20"/>
                <w:lang w:val="da-DK"/>
              </w:rPr>
              <w:t xml:space="preserve">14,3 måneder; p </w:t>
            </w:r>
            <w:r w:rsidR="00E93EBB" w:rsidRPr="00A92059">
              <w:rPr>
                <w:color w:val="000000"/>
                <w:sz w:val="20"/>
                <w:lang w:val="en-GB"/>
              </w:rPr>
              <w:t>=</w:t>
            </w:r>
            <w:r w:rsidRPr="001278B6">
              <w:rPr>
                <w:snapToGrid w:val="0"/>
                <w:sz w:val="20"/>
                <w:lang w:val="da-DK"/>
              </w:rPr>
              <w:t xml:space="preserve"> 0,0609)</w:t>
            </w:r>
          </w:p>
        </w:tc>
        <w:tc>
          <w:tcPr>
            <w:tcW w:w="3300" w:type="dxa"/>
          </w:tcPr>
          <w:p w14:paraId="5C59435C"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0,75 (0,55; 1,01)</w:t>
            </w:r>
          </w:p>
          <w:p w14:paraId="677A0EB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(17,5 </w:t>
            </w:r>
            <w:r w:rsidRPr="001278B6">
              <w:rPr>
                <w:i/>
                <w:snapToGrid w:val="0"/>
                <w:sz w:val="20"/>
                <w:lang w:val="da-DK"/>
              </w:rPr>
              <w:t xml:space="preserve">vs </w:t>
            </w:r>
            <w:r w:rsidRPr="001278B6">
              <w:rPr>
                <w:snapToGrid w:val="0"/>
                <w:sz w:val="20"/>
                <w:lang w:val="da-DK"/>
              </w:rPr>
              <w:t xml:space="preserve">15,0 måneder; p </w:t>
            </w:r>
            <w:r w:rsidR="00E93EBB" w:rsidRPr="00A92059">
              <w:rPr>
                <w:color w:val="000000"/>
                <w:sz w:val="20"/>
                <w:lang w:val="en-GB"/>
              </w:rPr>
              <w:t>=</w:t>
            </w:r>
            <w:r w:rsidRPr="001278B6">
              <w:rPr>
                <w:snapToGrid w:val="0"/>
                <w:sz w:val="20"/>
                <w:lang w:val="da-DK"/>
              </w:rPr>
              <w:t xml:space="preserve"> 0,0584)</w:t>
            </w:r>
          </w:p>
        </w:tc>
      </w:tr>
      <w:tr w:rsidR="003563EF" w:rsidRPr="005476B6" w14:paraId="748C2942" w14:textId="77777777" w:rsidTr="00F466A3">
        <w:trPr>
          <w:cantSplit/>
        </w:trPr>
        <w:tc>
          <w:tcPr>
            <w:tcW w:w="1323" w:type="dxa"/>
            <w:vMerge/>
          </w:tcPr>
          <w:p w14:paraId="42716EA1" w14:textId="77777777" w:rsidR="003563EF" w:rsidRPr="001278B6" w:rsidRDefault="003563EF" w:rsidP="001278B6">
            <w:pPr>
              <w:widowControl/>
              <w:adjustRightInd w:val="0"/>
              <w:snapToGrid w:val="0"/>
              <w:rPr>
                <w:snapToGrid w:val="0"/>
                <w:sz w:val="20"/>
                <w:szCs w:val="2"/>
                <w:lang w:val="da-DK"/>
              </w:rPr>
            </w:pPr>
          </w:p>
        </w:tc>
        <w:tc>
          <w:tcPr>
            <w:tcW w:w="1337" w:type="dxa"/>
          </w:tcPr>
          <w:p w14:paraId="14ADFE44"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Topotecan+ Paclitaxel</w:t>
            </w:r>
          </w:p>
        </w:tc>
        <w:tc>
          <w:tcPr>
            <w:tcW w:w="3332" w:type="dxa"/>
          </w:tcPr>
          <w:p w14:paraId="72004021"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0,76 (0,55; 1,06)</w:t>
            </w:r>
          </w:p>
          <w:p w14:paraId="0EA9327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(14,9 </w:t>
            </w:r>
            <w:r w:rsidRPr="001278B6">
              <w:rPr>
                <w:i/>
                <w:snapToGrid w:val="0"/>
                <w:sz w:val="20"/>
                <w:lang w:val="da-DK"/>
              </w:rPr>
              <w:t xml:space="preserve">vs </w:t>
            </w:r>
            <w:r w:rsidRPr="001278B6">
              <w:rPr>
                <w:snapToGrid w:val="0"/>
                <w:sz w:val="20"/>
                <w:lang w:val="da-DK"/>
              </w:rPr>
              <w:t xml:space="preserve">11,9 måneder; p </w:t>
            </w:r>
            <w:r w:rsidR="00E93EBB" w:rsidRPr="00A92059">
              <w:rPr>
                <w:color w:val="000000"/>
                <w:sz w:val="20"/>
                <w:lang w:val="en-GB"/>
              </w:rPr>
              <w:t>=</w:t>
            </w:r>
            <w:r w:rsidRPr="001278B6">
              <w:rPr>
                <w:snapToGrid w:val="0"/>
                <w:sz w:val="20"/>
                <w:lang w:val="da-DK"/>
              </w:rPr>
              <w:t xml:space="preserve"> 0,1061)</w:t>
            </w:r>
          </w:p>
        </w:tc>
        <w:tc>
          <w:tcPr>
            <w:tcW w:w="3300" w:type="dxa"/>
          </w:tcPr>
          <w:p w14:paraId="0C02D309"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0,79 (0,59; 1,07)</w:t>
            </w:r>
          </w:p>
          <w:p w14:paraId="6366A9C7"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(16,2 </w:t>
            </w:r>
            <w:r w:rsidRPr="001278B6">
              <w:rPr>
                <w:i/>
                <w:snapToGrid w:val="0"/>
                <w:sz w:val="20"/>
                <w:lang w:val="da-DK"/>
              </w:rPr>
              <w:t xml:space="preserve">vs </w:t>
            </w:r>
            <w:r w:rsidRPr="001278B6">
              <w:rPr>
                <w:snapToGrid w:val="0"/>
                <w:sz w:val="20"/>
                <w:lang w:val="da-DK"/>
              </w:rPr>
              <w:t xml:space="preserve">12,0 måneder; p </w:t>
            </w:r>
            <w:r w:rsidR="00E93EBB" w:rsidRPr="00A92059">
              <w:rPr>
                <w:color w:val="000000"/>
                <w:sz w:val="20"/>
                <w:lang w:val="en-GB"/>
              </w:rPr>
              <w:t>=</w:t>
            </w:r>
            <w:r w:rsidRPr="001278B6">
              <w:rPr>
                <w:snapToGrid w:val="0"/>
                <w:sz w:val="20"/>
                <w:lang w:val="da-DK"/>
              </w:rPr>
              <w:t xml:space="preserve"> 0,1342)</w:t>
            </w:r>
          </w:p>
        </w:tc>
      </w:tr>
      <w:tr w:rsidR="003563EF" w:rsidRPr="005476B6" w14:paraId="0F6E9483" w14:textId="77777777" w:rsidTr="00F466A3">
        <w:trPr>
          <w:cantSplit/>
        </w:trPr>
        <w:tc>
          <w:tcPr>
            <w:tcW w:w="1323" w:type="dxa"/>
            <w:vMerge w:val="restart"/>
          </w:tcPr>
          <w:p w14:paraId="4017AD61" w14:textId="77777777" w:rsidR="003563EF" w:rsidRPr="00E11D6F" w:rsidRDefault="00473235" w:rsidP="001278B6">
            <w:pPr>
              <w:pStyle w:val="TableParagraph"/>
              <w:widowControl/>
              <w:adjustRightInd w:val="0"/>
              <w:snapToGrid w:val="0"/>
              <w:rPr>
                <w:snapToGrid w:val="0"/>
                <w:sz w:val="20"/>
              </w:rPr>
            </w:pPr>
            <w:r w:rsidRPr="00E11D6F">
              <w:rPr>
                <w:snapToGrid w:val="0"/>
                <w:sz w:val="20"/>
              </w:rPr>
              <w:t xml:space="preserve">Topotecan+ Paclitaxel </w:t>
            </w:r>
            <w:r w:rsidRPr="00E11D6F">
              <w:rPr>
                <w:i/>
                <w:snapToGrid w:val="0"/>
                <w:sz w:val="20"/>
              </w:rPr>
              <w:t xml:space="preserve">vs </w:t>
            </w:r>
            <w:r w:rsidRPr="00E11D6F">
              <w:rPr>
                <w:snapToGrid w:val="0"/>
                <w:sz w:val="20"/>
              </w:rPr>
              <w:t>Cisplatin+ Paclitaxel</w:t>
            </w:r>
          </w:p>
        </w:tc>
        <w:tc>
          <w:tcPr>
            <w:tcW w:w="1337" w:type="dxa"/>
          </w:tcPr>
          <w:p w14:paraId="67634B5C" w14:textId="03B93A4B" w:rsidR="003563EF" w:rsidRPr="001278B6" w:rsidRDefault="00FE7FC1" w:rsidP="001278B6">
            <w:pPr>
              <w:pStyle w:val="TableParagraph"/>
              <w:widowControl/>
              <w:adjustRightInd w:val="0"/>
              <w:snapToGrid w:val="0"/>
              <w:jc w:val="center"/>
              <w:rPr>
                <w:snapToGrid w:val="0"/>
                <w:sz w:val="20"/>
                <w:lang w:val="da-DK"/>
              </w:rPr>
            </w:pPr>
            <w:r w:rsidRPr="00FE7FC1">
              <w:rPr>
                <w:snapToGrid w:val="0"/>
                <w:sz w:val="20"/>
                <w:lang w:val="da-DK"/>
              </w:rPr>
              <w:t>Bevacizumab</w:t>
            </w:r>
          </w:p>
        </w:tc>
        <w:tc>
          <w:tcPr>
            <w:tcW w:w="3332" w:type="dxa"/>
          </w:tcPr>
          <w:p w14:paraId="674F028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1,15 (0,82; 1,61)</w:t>
            </w:r>
          </w:p>
          <w:p w14:paraId="5D21DE45"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(14,9 </w:t>
            </w:r>
            <w:r w:rsidRPr="001278B6">
              <w:rPr>
                <w:i/>
                <w:snapToGrid w:val="0"/>
                <w:sz w:val="20"/>
                <w:lang w:val="da-DK"/>
              </w:rPr>
              <w:t xml:space="preserve">vs </w:t>
            </w:r>
            <w:r w:rsidRPr="001278B6">
              <w:rPr>
                <w:snapToGrid w:val="0"/>
                <w:sz w:val="20"/>
                <w:lang w:val="da-DK"/>
              </w:rPr>
              <w:t xml:space="preserve">17,5 måneder; p </w:t>
            </w:r>
            <w:r w:rsidR="00E93EBB" w:rsidRPr="00A92059">
              <w:rPr>
                <w:color w:val="000000"/>
                <w:sz w:val="20"/>
                <w:lang w:val="en-GB"/>
              </w:rPr>
              <w:t>=</w:t>
            </w:r>
            <w:r w:rsidRPr="001278B6">
              <w:rPr>
                <w:snapToGrid w:val="0"/>
                <w:sz w:val="20"/>
                <w:lang w:val="da-DK"/>
              </w:rPr>
              <w:t xml:space="preserve"> 0,4146)</w:t>
            </w:r>
          </w:p>
        </w:tc>
        <w:tc>
          <w:tcPr>
            <w:tcW w:w="3300" w:type="dxa"/>
          </w:tcPr>
          <w:p w14:paraId="7758F15A"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1,15 (0,85; 1,56)</w:t>
            </w:r>
          </w:p>
          <w:p w14:paraId="2A30064D"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(16,2 </w:t>
            </w:r>
            <w:r w:rsidRPr="001278B6">
              <w:rPr>
                <w:i/>
                <w:snapToGrid w:val="0"/>
                <w:sz w:val="20"/>
                <w:lang w:val="da-DK"/>
              </w:rPr>
              <w:t xml:space="preserve">vs </w:t>
            </w:r>
            <w:r w:rsidRPr="001278B6">
              <w:rPr>
                <w:snapToGrid w:val="0"/>
                <w:sz w:val="20"/>
                <w:lang w:val="da-DK"/>
              </w:rPr>
              <w:t xml:space="preserve">17,5 måneder; p </w:t>
            </w:r>
            <w:r w:rsidR="00E93EBB" w:rsidRPr="00A92059">
              <w:rPr>
                <w:color w:val="000000"/>
                <w:sz w:val="20"/>
                <w:lang w:val="en-GB"/>
              </w:rPr>
              <w:t>=</w:t>
            </w:r>
            <w:r w:rsidRPr="001278B6">
              <w:rPr>
                <w:snapToGrid w:val="0"/>
                <w:sz w:val="20"/>
                <w:lang w:val="da-DK"/>
              </w:rPr>
              <w:t xml:space="preserve"> 0,3769)</w:t>
            </w:r>
          </w:p>
        </w:tc>
      </w:tr>
      <w:tr w:rsidR="003563EF" w:rsidRPr="005476B6" w14:paraId="0335A4C7" w14:textId="77777777" w:rsidTr="00F466A3">
        <w:trPr>
          <w:cantSplit/>
        </w:trPr>
        <w:tc>
          <w:tcPr>
            <w:tcW w:w="1323" w:type="dxa"/>
            <w:vMerge/>
          </w:tcPr>
          <w:p w14:paraId="20442595" w14:textId="77777777" w:rsidR="003563EF" w:rsidRPr="001278B6" w:rsidRDefault="003563EF" w:rsidP="001278B6">
            <w:pPr>
              <w:widowControl/>
              <w:adjustRightInd w:val="0"/>
              <w:snapToGrid w:val="0"/>
              <w:rPr>
                <w:snapToGrid w:val="0"/>
                <w:sz w:val="20"/>
                <w:szCs w:val="2"/>
                <w:lang w:val="da-DK"/>
              </w:rPr>
            </w:pPr>
          </w:p>
        </w:tc>
        <w:tc>
          <w:tcPr>
            <w:tcW w:w="1337" w:type="dxa"/>
          </w:tcPr>
          <w:p w14:paraId="71627D3F" w14:textId="73FE032B"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Ingen </w:t>
            </w:r>
            <w:r w:rsidR="00FE7FC1" w:rsidRPr="00FE7FC1">
              <w:rPr>
                <w:snapToGrid w:val="0"/>
                <w:sz w:val="20"/>
                <w:lang w:val="da-DK"/>
              </w:rPr>
              <w:t>Bevacizumab</w:t>
            </w:r>
          </w:p>
        </w:tc>
        <w:tc>
          <w:tcPr>
            <w:tcW w:w="3332" w:type="dxa"/>
          </w:tcPr>
          <w:p w14:paraId="6A6BDBF6"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1,13 (0,81; 1,57)</w:t>
            </w:r>
          </w:p>
          <w:p w14:paraId="46E252CB"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(11,9 </w:t>
            </w:r>
            <w:r w:rsidRPr="001278B6">
              <w:rPr>
                <w:i/>
                <w:snapToGrid w:val="0"/>
                <w:sz w:val="20"/>
                <w:lang w:val="da-DK"/>
              </w:rPr>
              <w:t xml:space="preserve">vs </w:t>
            </w:r>
            <w:r w:rsidRPr="001278B6">
              <w:rPr>
                <w:snapToGrid w:val="0"/>
                <w:sz w:val="20"/>
                <w:lang w:val="da-DK"/>
              </w:rPr>
              <w:t xml:space="preserve">14,3 måneder; p </w:t>
            </w:r>
            <w:r w:rsidR="00E93EBB" w:rsidRPr="00A92059">
              <w:rPr>
                <w:color w:val="000000"/>
                <w:sz w:val="20"/>
                <w:lang w:val="en-GB"/>
              </w:rPr>
              <w:t>=</w:t>
            </w:r>
            <w:r w:rsidRPr="001278B6">
              <w:rPr>
                <w:snapToGrid w:val="0"/>
                <w:sz w:val="20"/>
                <w:lang w:val="da-DK"/>
              </w:rPr>
              <w:t xml:space="preserve"> 0,4825)</w:t>
            </w:r>
          </w:p>
        </w:tc>
        <w:tc>
          <w:tcPr>
            <w:tcW w:w="3300" w:type="dxa"/>
          </w:tcPr>
          <w:p w14:paraId="738F1B32"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1,08 (0,80; 1,45)</w:t>
            </w:r>
          </w:p>
          <w:p w14:paraId="54134B1E" w14:textId="77777777" w:rsidR="003563EF" w:rsidRPr="001278B6" w:rsidRDefault="00473235" w:rsidP="001278B6">
            <w:pPr>
              <w:pStyle w:val="TableParagraph"/>
              <w:widowControl/>
              <w:adjustRightInd w:val="0"/>
              <w:snapToGrid w:val="0"/>
              <w:jc w:val="center"/>
              <w:rPr>
                <w:snapToGrid w:val="0"/>
                <w:sz w:val="20"/>
                <w:lang w:val="da-DK"/>
              </w:rPr>
            </w:pPr>
            <w:r w:rsidRPr="001278B6">
              <w:rPr>
                <w:snapToGrid w:val="0"/>
                <w:sz w:val="20"/>
                <w:lang w:val="da-DK"/>
              </w:rPr>
              <w:t xml:space="preserve">(12,0 </w:t>
            </w:r>
            <w:r w:rsidRPr="001278B6">
              <w:rPr>
                <w:i/>
                <w:snapToGrid w:val="0"/>
                <w:sz w:val="20"/>
                <w:lang w:val="da-DK"/>
              </w:rPr>
              <w:t xml:space="preserve">vs </w:t>
            </w:r>
            <w:r w:rsidRPr="001278B6">
              <w:rPr>
                <w:snapToGrid w:val="0"/>
                <w:sz w:val="20"/>
                <w:lang w:val="da-DK"/>
              </w:rPr>
              <w:t xml:space="preserve">15,0 måneder; p </w:t>
            </w:r>
            <w:r w:rsidR="00E93EBB" w:rsidRPr="00A92059">
              <w:rPr>
                <w:color w:val="000000"/>
                <w:sz w:val="20"/>
                <w:lang w:val="en-GB"/>
              </w:rPr>
              <w:t>=</w:t>
            </w:r>
            <w:r w:rsidRPr="001278B6">
              <w:rPr>
                <w:snapToGrid w:val="0"/>
                <w:sz w:val="20"/>
                <w:lang w:val="da-DK"/>
              </w:rPr>
              <w:t xml:space="preserve"> 0,6267)</w:t>
            </w:r>
          </w:p>
        </w:tc>
      </w:tr>
    </w:tbl>
    <w:p w14:paraId="3BFF28D4"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1</w:t>
      </w:r>
      <w:r w:rsidRPr="001278B6">
        <w:rPr>
          <w:snapToGrid w:val="0"/>
          <w:sz w:val="18"/>
          <w:szCs w:val="18"/>
          <w:lang w:val="da-DK"/>
        </w:rPr>
        <w:t xml:space="preserve"> Primær</w:t>
      </w:r>
      <w:r w:rsidR="004B3750">
        <w:rPr>
          <w:snapToGrid w:val="0"/>
          <w:sz w:val="18"/>
          <w:szCs w:val="18"/>
          <w:lang w:val="da-DK"/>
        </w:rPr>
        <w:noBreakHyphen/>
      </w:r>
      <w:r w:rsidRPr="001278B6">
        <w:rPr>
          <w:snapToGrid w:val="0"/>
          <w:sz w:val="18"/>
          <w:szCs w:val="18"/>
          <w:lang w:val="da-DK"/>
        </w:rPr>
        <w:t xml:space="preserve">analyse blev udført ved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12. december 2012 og betragtes som den endelige analyse</w:t>
      </w:r>
    </w:p>
    <w:p w14:paraId="46CE323F" w14:textId="77777777" w:rsidR="003563EF" w:rsidRPr="001278B6" w:rsidRDefault="00473235" w:rsidP="001278B6">
      <w:pPr>
        <w:widowControl/>
        <w:adjustRightInd w:val="0"/>
        <w:snapToGrid w:val="0"/>
        <w:rPr>
          <w:snapToGrid w:val="0"/>
          <w:sz w:val="18"/>
          <w:szCs w:val="18"/>
          <w:lang w:val="da-DK"/>
        </w:rPr>
      </w:pPr>
      <w:r w:rsidRPr="001278B6">
        <w:rPr>
          <w:snapToGrid w:val="0"/>
          <w:sz w:val="18"/>
          <w:szCs w:val="18"/>
          <w:vertAlign w:val="superscript"/>
          <w:lang w:val="da-DK"/>
        </w:rPr>
        <w:t>2</w:t>
      </w:r>
      <w:r w:rsidRPr="001278B6">
        <w:rPr>
          <w:snapToGrid w:val="0"/>
          <w:sz w:val="18"/>
          <w:szCs w:val="18"/>
          <w:lang w:val="da-DK"/>
        </w:rPr>
        <w:t xml:space="preserve"> Followup</w:t>
      </w:r>
      <w:r w:rsidR="004B3750">
        <w:rPr>
          <w:snapToGrid w:val="0"/>
          <w:sz w:val="18"/>
          <w:szCs w:val="18"/>
          <w:lang w:val="da-DK"/>
        </w:rPr>
        <w:noBreakHyphen/>
      </w:r>
      <w:r w:rsidRPr="001278B6">
        <w:rPr>
          <w:snapToGrid w:val="0"/>
          <w:sz w:val="18"/>
          <w:szCs w:val="18"/>
          <w:lang w:val="da-DK"/>
        </w:rPr>
        <w:t xml:space="preserve">analyse blev udført ved data </w:t>
      </w:r>
      <w:r w:rsidRPr="001278B6">
        <w:rPr>
          <w:i/>
          <w:snapToGrid w:val="0"/>
          <w:sz w:val="18"/>
          <w:szCs w:val="18"/>
          <w:lang w:val="da-DK"/>
        </w:rPr>
        <w:t>cut</w:t>
      </w:r>
      <w:r w:rsidR="004B3750">
        <w:rPr>
          <w:i/>
          <w:snapToGrid w:val="0"/>
          <w:sz w:val="18"/>
          <w:szCs w:val="18"/>
          <w:lang w:val="da-DK"/>
        </w:rPr>
        <w:noBreakHyphen/>
      </w:r>
      <w:r w:rsidRPr="001278B6">
        <w:rPr>
          <w:i/>
          <w:snapToGrid w:val="0"/>
          <w:sz w:val="18"/>
          <w:szCs w:val="18"/>
          <w:lang w:val="da-DK"/>
        </w:rPr>
        <w:t xml:space="preserve">off </w:t>
      </w:r>
      <w:r w:rsidRPr="001278B6">
        <w:rPr>
          <w:snapToGrid w:val="0"/>
          <w:sz w:val="18"/>
          <w:szCs w:val="18"/>
          <w:lang w:val="da-DK"/>
        </w:rPr>
        <w:t>7. marts 2014; p</w:t>
      </w:r>
      <w:r w:rsidR="004B3750">
        <w:rPr>
          <w:snapToGrid w:val="0"/>
          <w:sz w:val="18"/>
          <w:szCs w:val="18"/>
          <w:lang w:val="da-DK"/>
        </w:rPr>
        <w:noBreakHyphen/>
      </w:r>
      <w:r w:rsidRPr="001278B6">
        <w:rPr>
          <w:snapToGrid w:val="0"/>
          <w:sz w:val="18"/>
          <w:szCs w:val="18"/>
          <w:lang w:val="da-DK"/>
        </w:rPr>
        <w:t>værdier er kun vist for oplysende formål</w:t>
      </w:r>
    </w:p>
    <w:p w14:paraId="6F6A7493" w14:textId="77777777" w:rsidR="0079124A" w:rsidRPr="001278B6" w:rsidRDefault="0079124A" w:rsidP="001278B6">
      <w:pPr>
        <w:widowControl/>
        <w:adjustRightInd w:val="0"/>
        <w:snapToGrid w:val="0"/>
        <w:rPr>
          <w:snapToGrid w:val="0"/>
          <w:lang w:val="da-DK"/>
        </w:rPr>
      </w:pPr>
    </w:p>
    <w:p w14:paraId="62071580" w14:textId="77777777" w:rsidR="003563EF" w:rsidRPr="00F466A3" w:rsidRDefault="00473235" w:rsidP="001278B6">
      <w:pPr>
        <w:keepNext/>
        <w:keepLines/>
        <w:widowControl/>
        <w:adjustRightInd w:val="0"/>
        <w:snapToGrid w:val="0"/>
        <w:rPr>
          <w:iCs/>
          <w:snapToGrid w:val="0"/>
          <w:lang w:val="da-DK"/>
        </w:rPr>
      </w:pPr>
      <w:r w:rsidRPr="00F466A3">
        <w:rPr>
          <w:iCs/>
          <w:snapToGrid w:val="0"/>
          <w:u w:val="single"/>
          <w:lang w:val="da-DK"/>
        </w:rPr>
        <w:t>Pædiatrisk population</w:t>
      </w:r>
    </w:p>
    <w:p w14:paraId="44D0B122" w14:textId="77777777" w:rsidR="003563EF" w:rsidRPr="001278B6" w:rsidRDefault="00473235" w:rsidP="001278B6">
      <w:pPr>
        <w:pStyle w:val="a3"/>
        <w:widowControl/>
        <w:adjustRightInd w:val="0"/>
        <w:snapToGrid w:val="0"/>
        <w:rPr>
          <w:snapToGrid w:val="0"/>
          <w:lang w:val="da-DK"/>
        </w:rPr>
      </w:pPr>
      <w:r w:rsidRPr="001278B6">
        <w:rPr>
          <w:snapToGrid w:val="0"/>
          <w:lang w:val="da-DK"/>
        </w:rPr>
        <w:t>Det Europæiske Lægemiddelagentur har dispenseret fra kravet om fremlæggelse af resultaterne af studier med bevacizumab hos alle undergrupper af den pædiatriske population ved brystkarcinom, adenokarcinom i colon og rectum, lungekarcinom (småcellet og ikke</w:t>
      </w:r>
      <w:r w:rsidR="004B3750">
        <w:rPr>
          <w:snapToGrid w:val="0"/>
          <w:lang w:val="da-DK"/>
        </w:rPr>
        <w:noBreakHyphen/>
      </w:r>
      <w:r w:rsidRPr="001278B6">
        <w:rPr>
          <w:snapToGrid w:val="0"/>
          <w:lang w:val="da-DK"/>
        </w:rPr>
        <w:t>småcellet karcinom), nyre</w:t>
      </w:r>
      <w:r w:rsidR="004B3750">
        <w:rPr>
          <w:snapToGrid w:val="0"/>
          <w:lang w:val="da-DK"/>
        </w:rPr>
        <w:noBreakHyphen/>
      </w:r>
      <w:r w:rsidRPr="001278B6">
        <w:rPr>
          <w:snapToGrid w:val="0"/>
          <w:lang w:val="da-DK"/>
        </w:rPr>
        <w:t xml:space="preserve"> og nyrebækkenkarcinom (eksklusive nefroblastom, nefroblastomatose, clear</w:t>
      </w:r>
      <w:r w:rsidR="004B3750">
        <w:rPr>
          <w:snapToGrid w:val="0"/>
          <w:lang w:val="da-DK"/>
        </w:rPr>
        <w:noBreakHyphen/>
      </w:r>
      <w:r w:rsidRPr="001278B6">
        <w:rPr>
          <w:snapToGrid w:val="0"/>
          <w:lang w:val="da-DK"/>
        </w:rPr>
        <w:t>cell</w:t>
      </w:r>
      <w:r w:rsidR="004B3750">
        <w:rPr>
          <w:snapToGrid w:val="0"/>
          <w:lang w:val="da-DK"/>
        </w:rPr>
        <w:noBreakHyphen/>
      </w:r>
      <w:r w:rsidRPr="001278B6">
        <w:rPr>
          <w:snapToGrid w:val="0"/>
          <w:lang w:val="da-DK"/>
        </w:rPr>
        <w:t>sarkom, mesoblastisk nefrom, nyremarvskarcinom og rabdoid tumor i nyren), ovariekarcinom (eksklusive rabdomyosarkom og stamcelletumorer), tubakarcinom (eksklusive rabdomyosarkom og stamcelletumorer), peritonealkarcinom (eksklusive blastomer og sarkomer) samt karcinom i cervix og corpus uteri.</w:t>
      </w:r>
    </w:p>
    <w:p w14:paraId="152832D5" w14:textId="77777777" w:rsidR="003563EF" w:rsidRPr="001278B6" w:rsidRDefault="003563EF" w:rsidP="001278B6">
      <w:pPr>
        <w:pStyle w:val="a3"/>
        <w:widowControl/>
        <w:adjustRightInd w:val="0"/>
        <w:snapToGrid w:val="0"/>
        <w:rPr>
          <w:snapToGrid w:val="0"/>
          <w:lang w:val="da-DK"/>
        </w:rPr>
      </w:pPr>
    </w:p>
    <w:p w14:paraId="4232C1D0" w14:textId="77777777" w:rsidR="00D33D67" w:rsidRPr="00F466A3" w:rsidRDefault="00473235" w:rsidP="001278B6">
      <w:pPr>
        <w:pStyle w:val="a3"/>
        <w:widowControl/>
        <w:adjustRightInd w:val="0"/>
        <w:snapToGrid w:val="0"/>
        <w:rPr>
          <w:i/>
          <w:snapToGrid w:val="0"/>
          <w:u w:val="single"/>
          <w:lang w:val="da-DK"/>
        </w:rPr>
      </w:pPr>
      <w:r w:rsidRPr="00F466A3">
        <w:rPr>
          <w:i/>
          <w:snapToGrid w:val="0"/>
          <w:u w:val="single"/>
          <w:lang w:val="da-DK"/>
        </w:rPr>
        <w:lastRenderedPageBreak/>
        <w:t>Høj</w:t>
      </w:r>
      <w:r w:rsidR="004B3750" w:rsidRPr="00F466A3">
        <w:rPr>
          <w:i/>
          <w:snapToGrid w:val="0"/>
          <w:u w:val="single"/>
          <w:lang w:val="da-DK"/>
        </w:rPr>
        <w:noBreakHyphen/>
      </w:r>
      <w:r w:rsidRPr="00F466A3">
        <w:rPr>
          <w:i/>
          <w:snapToGrid w:val="0"/>
          <w:u w:val="single"/>
          <w:lang w:val="da-DK"/>
        </w:rPr>
        <w:t>grads</w:t>
      </w:r>
      <w:r w:rsidR="004B3750" w:rsidRPr="00F466A3">
        <w:rPr>
          <w:i/>
          <w:snapToGrid w:val="0"/>
          <w:u w:val="single"/>
          <w:lang w:val="da-DK"/>
        </w:rPr>
        <w:noBreakHyphen/>
      </w:r>
      <w:r w:rsidRPr="00F466A3">
        <w:rPr>
          <w:i/>
          <w:snapToGrid w:val="0"/>
          <w:u w:val="single"/>
          <w:lang w:val="da-DK"/>
        </w:rPr>
        <w:t>gliom</w:t>
      </w:r>
    </w:p>
    <w:p w14:paraId="30421763" w14:textId="77777777" w:rsidR="003563EF" w:rsidRPr="001278B6" w:rsidRDefault="00473235" w:rsidP="001278B6">
      <w:pPr>
        <w:pStyle w:val="a3"/>
        <w:widowControl/>
        <w:adjustRightInd w:val="0"/>
        <w:snapToGrid w:val="0"/>
        <w:rPr>
          <w:snapToGrid w:val="0"/>
          <w:lang w:val="da-DK"/>
        </w:rPr>
      </w:pPr>
      <w:r w:rsidRPr="001278B6">
        <w:rPr>
          <w:snapToGrid w:val="0"/>
          <w:lang w:val="da-DK"/>
        </w:rPr>
        <w:t>I to tidligere studier med i alt 30 børn over 3 år med recidiverende eller progredierende høj</w:t>
      </w:r>
      <w:r w:rsidR="004B3750">
        <w:rPr>
          <w:snapToGrid w:val="0"/>
          <w:lang w:val="da-DK"/>
        </w:rPr>
        <w:noBreakHyphen/>
      </w:r>
      <w:r w:rsidRPr="001278B6">
        <w:rPr>
          <w:snapToGrid w:val="0"/>
          <w:lang w:val="da-DK"/>
        </w:rPr>
        <w:t>grads</w:t>
      </w:r>
      <w:r w:rsidR="004B3750">
        <w:rPr>
          <w:snapToGrid w:val="0"/>
          <w:lang w:val="da-DK"/>
        </w:rPr>
        <w:noBreakHyphen/>
      </w:r>
      <w:r w:rsidRPr="001278B6">
        <w:rPr>
          <w:snapToGrid w:val="0"/>
          <w:lang w:val="da-DK"/>
        </w:rPr>
        <w:t>gliom blev der ikke observeret antitumor</w:t>
      </w:r>
      <w:r w:rsidR="004B3750">
        <w:rPr>
          <w:snapToGrid w:val="0"/>
          <w:lang w:val="da-DK"/>
        </w:rPr>
        <w:noBreakHyphen/>
      </w:r>
      <w:r w:rsidRPr="001278B6">
        <w:rPr>
          <w:snapToGrid w:val="0"/>
          <w:lang w:val="da-DK"/>
        </w:rPr>
        <w:t>aktivitet ved behandling med bevacizumab og irinotecan (CPT</w:t>
      </w:r>
      <w:r w:rsidR="004B3750">
        <w:rPr>
          <w:snapToGrid w:val="0"/>
          <w:lang w:val="da-DK"/>
        </w:rPr>
        <w:noBreakHyphen/>
      </w:r>
      <w:r w:rsidRPr="001278B6">
        <w:rPr>
          <w:snapToGrid w:val="0"/>
          <w:lang w:val="da-DK"/>
        </w:rPr>
        <w:t>11). Der er utilstrækkelig information til at fastslå sikkerhed og effekt af bevacizumab hos børn med nylig diagnosticeret høj</w:t>
      </w:r>
      <w:r w:rsidR="004B3750">
        <w:rPr>
          <w:snapToGrid w:val="0"/>
          <w:lang w:val="da-DK"/>
        </w:rPr>
        <w:noBreakHyphen/>
      </w:r>
      <w:r w:rsidRPr="001278B6">
        <w:rPr>
          <w:snapToGrid w:val="0"/>
          <w:lang w:val="da-DK"/>
        </w:rPr>
        <w:t>grads</w:t>
      </w:r>
      <w:r w:rsidR="004B3750">
        <w:rPr>
          <w:snapToGrid w:val="0"/>
          <w:lang w:val="da-DK"/>
        </w:rPr>
        <w:noBreakHyphen/>
      </w:r>
      <w:r w:rsidRPr="001278B6">
        <w:rPr>
          <w:snapToGrid w:val="0"/>
          <w:lang w:val="da-DK"/>
        </w:rPr>
        <w:t>gliom.</w:t>
      </w:r>
    </w:p>
    <w:p w14:paraId="72880E19" w14:textId="77777777" w:rsidR="003563EF" w:rsidRPr="001278B6" w:rsidRDefault="003563EF" w:rsidP="001278B6">
      <w:pPr>
        <w:pStyle w:val="a3"/>
        <w:widowControl/>
        <w:adjustRightInd w:val="0"/>
        <w:snapToGrid w:val="0"/>
        <w:rPr>
          <w:snapToGrid w:val="0"/>
          <w:lang w:val="da-DK"/>
        </w:rPr>
      </w:pPr>
    </w:p>
    <w:p w14:paraId="6891CCD1" w14:textId="77777777" w:rsidR="003563EF" w:rsidRPr="001278B6" w:rsidRDefault="00473235" w:rsidP="001278B6">
      <w:pPr>
        <w:pStyle w:val="Bullet1"/>
        <w:widowControl/>
        <w:rPr>
          <w:lang w:val="da-DK"/>
        </w:rPr>
      </w:pPr>
      <w:r w:rsidRPr="001278B6">
        <w:rPr>
          <w:lang w:val="da-DK"/>
        </w:rPr>
        <w:t>I et enkelt</w:t>
      </w:r>
      <w:r w:rsidR="004B3750">
        <w:rPr>
          <w:lang w:val="da-DK"/>
        </w:rPr>
        <w:noBreakHyphen/>
      </w:r>
      <w:r w:rsidRPr="001278B6">
        <w:rPr>
          <w:lang w:val="da-DK"/>
        </w:rPr>
        <w:t>arms</w:t>
      </w:r>
      <w:r w:rsidR="004B3750">
        <w:rPr>
          <w:lang w:val="da-DK"/>
        </w:rPr>
        <w:noBreakHyphen/>
      </w:r>
      <w:r w:rsidRPr="001278B6">
        <w:rPr>
          <w:lang w:val="da-DK"/>
        </w:rPr>
        <w:t>studie (PBTC</w:t>
      </w:r>
      <w:r w:rsidR="004B3750">
        <w:rPr>
          <w:lang w:val="da-DK"/>
        </w:rPr>
        <w:noBreakHyphen/>
      </w:r>
      <w:r w:rsidRPr="001278B6">
        <w:rPr>
          <w:lang w:val="da-DK"/>
        </w:rPr>
        <w:t>022) blev18 børn med recidiverende eller progredierende høj</w:t>
      </w:r>
      <w:r w:rsidR="004B3750">
        <w:rPr>
          <w:lang w:val="da-DK"/>
        </w:rPr>
        <w:noBreakHyphen/>
      </w:r>
      <w:r w:rsidRPr="001278B6">
        <w:rPr>
          <w:lang w:val="da-DK"/>
        </w:rPr>
        <w:t>grads</w:t>
      </w:r>
      <w:r w:rsidR="004B3750">
        <w:rPr>
          <w:lang w:val="da-DK"/>
        </w:rPr>
        <w:noBreakHyphen/>
      </w:r>
      <w:r w:rsidRPr="001278B6">
        <w:rPr>
          <w:lang w:val="da-DK"/>
        </w:rPr>
        <w:t>gliom, som ikke involverede hjernebroen (herunder 8 med glioblastom [WHO grad IV], 9</w:t>
      </w:r>
      <w:r w:rsidR="00415EB9">
        <w:rPr>
          <w:lang w:val="da-DK"/>
        </w:rPr>
        <w:t> </w:t>
      </w:r>
      <w:r w:rsidRPr="001278B6">
        <w:rPr>
          <w:lang w:val="da-DK"/>
        </w:rPr>
        <w:t>med anaplastisk astrocytom [grad III] og 1 med anaplastisk oligodendrogliom [grad III]), behandlet med bevacizumab (10</w:t>
      </w:r>
      <w:r w:rsidR="007D1F19">
        <w:rPr>
          <w:lang w:val="da-DK"/>
        </w:rPr>
        <w:t> mg</w:t>
      </w:r>
      <w:r w:rsidRPr="001278B6">
        <w:rPr>
          <w:lang w:val="da-DK"/>
        </w:rPr>
        <w:t>/kg) med 2 ugers mellemrum og derefter med bevacizumab i kombination med CPT</w:t>
      </w:r>
      <w:r w:rsidR="004B3750">
        <w:rPr>
          <w:lang w:val="da-DK"/>
        </w:rPr>
        <w:noBreakHyphen/>
      </w:r>
      <w:r w:rsidRPr="001278B6">
        <w:rPr>
          <w:lang w:val="da-DK"/>
        </w:rPr>
        <w:t>11 (125</w:t>
      </w:r>
      <w:r w:rsidR="004B3750">
        <w:rPr>
          <w:lang w:val="da-DK"/>
        </w:rPr>
        <w:noBreakHyphen/>
      </w:r>
      <w:r w:rsidRPr="001278B6">
        <w:rPr>
          <w:lang w:val="da-DK"/>
        </w:rPr>
        <w:t>350</w:t>
      </w:r>
      <w:r w:rsidR="007D1F19">
        <w:rPr>
          <w:lang w:val="da-DK"/>
        </w:rPr>
        <w:t> mg</w:t>
      </w:r>
      <w:r w:rsidRPr="001278B6">
        <w:rPr>
          <w:lang w:val="da-DK"/>
        </w:rPr>
        <w:t>/m²) hver anden uge indtil progression. Der var ingen objektive (delvise eller komplette) radiologiske respons (Macdonald kriterier). Toksicitet og bivirkninger inkluderede arteriel hypertension og træthed samt CNS</w:t>
      </w:r>
      <w:r w:rsidR="004B3750">
        <w:rPr>
          <w:lang w:val="da-DK"/>
        </w:rPr>
        <w:noBreakHyphen/>
      </w:r>
      <w:r w:rsidRPr="001278B6">
        <w:rPr>
          <w:lang w:val="da-DK"/>
        </w:rPr>
        <w:t>iskæmi med akutte neurologiske udfald.</w:t>
      </w:r>
    </w:p>
    <w:p w14:paraId="3C6B51F5" w14:textId="77777777" w:rsidR="003563EF" w:rsidRPr="001278B6" w:rsidRDefault="003563EF" w:rsidP="001278B6">
      <w:pPr>
        <w:pStyle w:val="a3"/>
        <w:widowControl/>
        <w:adjustRightInd w:val="0"/>
        <w:snapToGrid w:val="0"/>
        <w:rPr>
          <w:snapToGrid w:val="0"/>
          <w:lang w:val="da-DK"/>
        </w:rPr>
      </w:pPr>
    </w:p>
    <w:p w14:paraId="7C33EA49" w14:textId="77777777" w:rsidR="003563EF" w:rsidRPr="001278B6" w:rsidRDefault="00473235" w:rsidP="001278B6">
      <w:pPr>
        <w:pStyle w:val="Bullet1"/>
        <w:widowControl/>
        <w:rPr>
          <w:lang w:val="da-DK"/>
        </w:rPr>
      </w:pPr>
      <w:r w:rsidRPr="001278B6">
        <w:rPr>
          <w:lang w:val="da-DK"/>
        </w:rPr>
        <w:t>I et retrospektivt studie på en enkelt institution blev 12 konsekutive børn (2005</w:t>
      </w:r>
      <w:r w:rsidR="004B3750">
        <w:rPr>
          <w:lang w:val="da-DK"/>
        </w:rPr>
        <w:noBreakHyphen/>
      </w:r>
      <w:r w:rsidRPr="001278B6">
        <w:rPr>
          <w:lang w:val="da-DK"/>
        </w:rPr>
        <w:t>2008) med recidiverende eller progredierende høj</w:t>
      </w:r>
      <w:r w:rsidR="004B3750">
        <w:rPr>
          <w:lang w:val="da-DK"/>
        </w:rPr>
        <w:noBreakHyphen/>
      </w:r>
      <w:r w:rsidRPr="001278B6">
        <w:rPr>
          <w:lang w:val="da-DK"/>
        </w:rPr>
        <w:t>grads</w:t>
      </w:r>
      <w:r w:rsidR="004B3750">
        <w:rPr>
          <w:lang w:val="da-DK"/>
        </w:rPr>
        <w:noBreakHyphen/>
      </w:r>
      <w:r w:rsidRPr="001278B6">
        <w:rPr>
          <w:lang w:val="da-DK"/>
        </w:rPr>
        <w:t>gliom (3 med WHO grad IV, 9 med grad III) behandlet med bevacizumab (10</w:t>
      </w:r>
      <w:r w:rsidR="007D1F19">
        <w:rPr>
          <w:lang w:val="da-DK"/>
        </w:rPr>
        <w:t> mg</w:t>
      </w:r>
      <w:r w:rsidRPr="001278B6">
        <w:rPr>
          <w:lang w:val="da-DK"/>
        </w:rPr>
        <w:t>/kg) og irinotecan (125</w:t>
      </w:r>
      <w:r w:rsidR="007D1F19">
        <w:rPr>
          <w:lang w:val="da-DK"/>
        </w:rPr>
        <w:t> mg</w:t>
      </w:r>
      <w:r w:rsidRPr="001278B6">
        <w:rPr>
          <w:lang w:val="da-DK"/>
        </w:rPr>
        <w:t>/m²) hver anden uge. Der var ingen komplette respons og 2 delvise respons (Macdonald kriterier).</w:t>
      </w:r>
    </w:p>
    <w:p w14:paraId="6EAFDAE4" w14:textId="77777777" w:rsidR="003563EF" w:rsidRPr="001278B6" w:rsidRDefault="003563EF" w:rsidP="001278B6">
      <w:pPr>
        <w:pStyle w:val="a3"/>
        <w:widowControl/>
        <w:adjustRightInd w:val="0"/>
        <w:snapToGrid w:val="0"/>
        <w:rPr>
          <w:snapToGrid w:val="0"/>
          <w:lang w:val="da-DK"/>
        </w:rPr>
      </w:pPr>
    </w:p>
    <w:p w14:paraId="6B6D5E14" w14:textId="77777777" w:rsidR="003563EF" w:rsidRPr="001278B6" w:rsidRDefault="00473235" w:rsidP="001278B6">
      <w:pPr>
        <w:pStyle w:val="a3"/>
        <w:widowControl/>
        <w:adjustRightInd w:val="0"/>
        <w:snapToGrid w:val="0"/>
        <w:rPr>
          <w:snapToGrid w:val="0"/>
          <w:lang w:val="da-DK"/>
        </w:rPr>
      </w:pPr>
      <w:r w:rsidRPr="001278B6">
        <w:rPr>
          <w:snapToGrid w:val="0"/>
          <w:lang w:val="da-DK"/>
        </w:rPr>
        <w:t>I et randomiseret fase II</w:t>
      </w:r>
      <w:r w:rsidR="004B3750">
        <w:rPr>
          <w:snapToGrid w:val="0"/>
          <w:lang w:val="da-DK"/>
        </w:rPr>
        <w:noBreakHyphen/>
      </w:r>
      <w:r w:rsidRPr="001278B6">
        <w:rPr>
          <w:snapToGrid w:val="0"/>
          <w:lang w:val="da-DK"/>
        </w:rPr>
        <w:t>studie (BO25041) blev 121 patienter ≥ 3 år til &lt;18 år med nyligt diagnosticeret supratentorielt eller infratentorielt cerebellært eller pedunkulært høj</w:t>
      </w:r>
      <w:r w:rsidR="004B3750">
        <w:rPr>
          <w:snapToGrid w:val="0"/>
          <w:lang w:val="da-DK"/>
        </w:rPr>
        <w:noBreakHyphen/>
      </w:r>
      <w:r w:rsidRPr="001278B6">
        <w:rPr>
          <w:snapToGrid w:val="0"/>
          <w:lang w:val="da-DK"/>
        </w:rPr>
        <w:t>grads</w:t>
      </w:r>
      <w:r w:rsidR="004B3750">
        <w:rPr>
          <w:snapToGrid w:val="0"/>
          <w:lang w:val="da-DK"/>
        </w:rPr>
        <w:noBreakHyphen/>
      </w:r>
      <w:r w:rsidRPr="001278B6">
        <w:rPr>
          <w:snapToGrid w:val="0"/>
          <w:lang w:val="da-DK"/>
        </w:rPr>
        <w:t xml:space="preserve">gliom behandlet med </w:t>
      </w:r>
      <w:r w:rsidRPr="001278B6">
        <w:rPr>
          <w:i/>
          <w:snapToGrid w:val="0"/>
          <w:lang w:val="da-DK"/>
        </w:rPr>
        <w:t>post</w:t>
      </w:r>
      <w:r w:rsidR="004B3750">
        <w:rPr>
          <w:snapToGrid w:val="0"/>
          <w:lang w:val="da-DK"/>
        </w:rPr>
        <w:noBreakHyphen/>
      </w:r>
      <w:r w:rsidRPr="001278B6">
        <w:rPr>
          <w:snapToGrid w:val="0"/>
          <w:lang w:val="da-DK"/>
        </w:rPr>
        <w:t>operativ strålebehandling (RT) og adjuverende temozolomid (T) med og uden bevacizumab: 10</w:t>
      </w:r>
      <w:r w:rsidR="00133600">
        <w:rPr>
          <w:snapToGrid w:val="0"/>
          <w:lang w:val="da-DK"/>
        </w:rPr>
        <w:t> mg</w:t>
      </w:r>
      <w:r w:rsidRPr="001278B6">
        <w:rPr>
          <w:snapToGrid w:val="0"/>
          <w:lang w:val="da-DK"/>
        </w:rPr>
        <w:t>/kg i.v. hver anden uge.</w:t>
      </w:r>
    </w:p>
    <w:p w14:paraId="5DBF0BD7" w14:textId="77777777" w:rsidR="003563EF" w:rsidRPr="001278B6" w:rsidRDefault="003563EF" w:rsidP="001278B6">
      <w:pPr>
        <w:pStyle w:val="a3"/>
        <w:widowControl/>
        <w:adjustRightInd w:val="0"/>
        <w:snapToGrid w:val="0"/>
        <w:rPr>
          <w:snapToGrid w:val="0"/>
          <w:lang w:val="da-DK"/>
        </w:rPr>
      </w:pPr>
    </w:p>
    <w:p w14:paraId="05362A93" w14:textId="77777777" w:rsidR="003563EF" w:rsidRPr="001278B6" w:rsidRDefault="00473235" w:rsidP="001278B6">
      <w:pPr>
        <w:pStyle w:val="a3"/>
        <w:widowControl/>
        <w:adjustRightInd w:val="0"/>
        <w:snapToGrid w:val="0"/>
        <w:rPr>
          <w:snapToGrid w:val="0"/>
          <w:lang w:val="da-DK"/>
        </w:rPr>
      </w:pPr>
      <w:r w:rsidRPr="003C63FB">
        <w:rPr>
          <w:snapToGrid w:val="0"/>
          <w:lang w:val="nb-NO"/>
        </w:rPr>
        <w:t xml:space="preserve">Studiet nåede ikke det primære endepunkt. </w:t>
      </w:r>
      <w:r w:rsidRPr="001278B6">
        <w:rPr>
          <w:snapToGrid w:val="0"/>
          <w:lang w:val="da-DK"/>
        </w:rPr>
        <w:t xml:space="preserve">Der blev ikke vist en signifikant forbedring af hændelsesfri overlevelse (vurderet af en central </w:t>
      </w:r>
      <w:r w:rsidRPr="001278B6">
        <w:rPr>
          <w:i/>
          <w:snapToGrid w:val="0"/>
          <w:lang w:val="da-DK"/>
        </w:rPr>
        <w:t>Radiology Review Committee</w:t>
      </w:r>
      <w:r w:rsidRPr="001278B6">
        <w:rPr>
          <w:snapToGrid w:val="0"/>
          <w:lang w:val="da-DK"/>
        </w:rPr>
        <w:t>), når bevacizumab var føjet til RT/T</w:t>
      </w:r>
      <w:r w:rsidR="004B3750">
        <w:rPr>
          <w:snapToGrid w:val="0"/>
          <w:lang w:val="da-DK"/>
        </w:rPr>
        <w:noBreakHyphen/>
      </w:r>
      <w:r w:rsidRPr="001278B6">
        <w:rPr>
          <w:snapToGrid w:val="0"/>
          <w:lang w:val="da-DK"/>
        </w:rPr>
        <w:t>behandlingsarmen, sammenlignet med RT/T</w:t>
      </w:r>
      <w:r w:rsidR="004B3750">
        <w:rPr>
          <w:snapToGrid w:val="0"/>
          <w:lang w:val="da-DK"/>
        </w:rPr>
        <w:noBreakHyphen/>
      </w:r>
      <w:r w:rsidRPr="001278B6">
        <w:rPr>
          <w:snapToGrid w:val="0"/>
          <w:lang w:val="da-DK"/>
        </w:rPr>
        <w:t>behandlingsarmen alene (</w:t>
      </w:r>
      <w:r w:rsidRPr="001278B6">
        <w:rPr>
          <w:i/>
          <w:snapToGrid w:val="0"/>
          <w:lang w:val="da-DK"/>
        </w:rPr>
        <w:t xml:space="preserve">Hazard Ratio </w:t>
      </w:r>
      <w:r w:rsidR="00065138" w:rsidRPr="00515644">
        <w:rPr>
          <w:color w:val="000000"/>
          <w:sz w:val="20"/>
          <w:lang w:val="da-DK"/>
        </w:rPr>
        <w:t>=</w:t>
      </w:r>
      <w:r w:rsidRPr="001278B6">
        <w:rPr>
          <w:snapToGrid w:val="0"/>
          <w:lang w:val="da-DK"/>
        </w:rPr>
        <w:t xml:space="preserve"> 1,44; 95% konfidensinterval: 0,90; 2,30). Disse resultater var konsistente med resultater fra forskellige sensitivitetsanalyser og i klinisk relevante undergrupper. Resultater for alle sekundære endepunkter (investigator</w:t>
      </w:r>
      <w:r w:rsidR="004B3750">
        <w:rPr>
          <w:snapToGrid w:val="0"/>
          <w:lang w:val="da-DK"/>
        </w:rPr>
        <w:noBreakHyphen/>
      </w:r>
      <w:r w:rsidRPr="001278B6">
        <w:rPr>
          <w:snapToGrid w:val="0"/>
          <w:lang w:val="da-DK"/>
        </w:rPr>
        <w:t>vurderet hændelsesfri overlevelse, objektiv responsrate og samlet overlevelse) var konsistente og viste ingen forbedring ved tilføjelse af bevacizumab til RT/T</w:t>
      </w:r>
      <w:r w:rsidR="004B3750">
        <w:rPr>
          <w:snapToGrid w:val="0"/>
          <w:lang w:val="da-DK"/>
        </w:rPr>
        <w:noBreakHyphen/>
      </w:r>
      <w:r w:rsidRPr="001278B6">
        <w:rPr>
          <w:snapToGrid w:val="0"/>
          <w:lang w:val="da-DK"/>
        </w:rPr>
        <w:t>behandlingsarmen sammenlignet med RT/T</w:t>
      </w:r>
      <w:r w:rsidR="004B3750">
        <w:rPr>
          <w:snapToGrid w:val="0"/>
          <w:lang w:val="da-DK"/>
        </w:rPr>
        <w:noBreakHyphen/>
      </w:r>
      <w:r w:rsidRPr="001278B6">
        <w:rPr>
          <w:snapToGrid w:val="0"/>
          <w:lang w:val="da-DK"/>
        </w:rPr>
        <w:t>behandlingsarmen alene.</w:t>
      </w:r>
    </w:p>
    <w:p w14:paraId="0A0BF95C" w14:textId="77777777" w:rsidR="003563EF" w:rsidRPr="001278B6" w:rsidRDefault="003563EF" w:rsidP="001278B6">
      <w:pPr>
        <w:pStyle w:val="a3"/>
        <w:widowControl/>
        <w:adjustRightInd w:val="0"/>
        <w:snapToGrid w:val="0"/>
        <w:rPr>
          <w:snapToGrid w:val="0"/>
          <w:lang w:val="da-DK"/>
        </w:rPr>
      </w:pPr>
    </w:p>
    <w:p w14:paraId="0869FB7E"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 xml:space="preserve">Tilføjelse af </w:t>
      </w:r>
      <w:r w:rsidR="00B25D9F">
        <w:rPr>
          <w:snapToGrid w:val="0"/>
          <w:lang w:val="da-DK"/>
        </w:rPr>
        <w:t>bevacizumab</w:t>
      </w:r>
      <w:r w:rsidRPr="001278B6">
        <w:rPr>
          <w:snapToGrid w:val="0"/>
          <w:lang w:val="da-DK"/>
        </w:rPr>
        <w:t xml:space="preserve"> til RT/T vidste ikke kliniske fordele i studie BO25041 hos 60 evaluerbare børn med nyligt diagnosticeret supratentorielt eller infratentorielt cerebellært eller pedunkulært høj</w:t>
      </w:r>
      <w:r w:rsidR="004B3750">
        <w:rPr>
          <w:snapToGrid w:val="0"/>
          <w:lang w:val="da-DK"/>
        </w:rPr>
        <w:noBreakHyphen/>
      </w:r>
      <w:r w:rsidRPr="001278B6">
        <w:rPr>
          <w:snapToGrid w:val="0"/>
          <w:lang w:val="da-DK"/>
        </w:rPr>
        <w:t>grads</w:t>
      </w:r>
      <w:r w:rsidR="004B3750">
        <w:rPr>
          <w:snapToGrid w:val="0"/>
          <w:lang w:val="da-DK"/>
        </w:rPr>
        <w:noBreakHyphen/>
      </w:r>
      <w:r w:rsidRPr="001278B6">
        <w:rPr>
          <w:snapToGrid w:val="0"/>
          <w:lang w:val="da-DK"/>
        </w:rPr>
        <w:t>gliom (se pkt. 4.2 vedrørende pædiatrisk anvendelse).</w:t>
      </w:r>
    </w:p>
    <w:p w14:paraId="64E1C5AC" w14:textId="77777777" w:rsidR="003563EF" w:rsidRPr="001278B6" w:rsidRDefault="003563EF" w:rsidP="001278B6">
      <w:pPr>
        <w:pStyle w:val="a3"/>
        <w:widowControl/>
        <w:adjustRightInd w:val="0"/>
        <w:snapToGrid w:val="0"/>
        <w:rPr>
          <w:snapToGrid w:val="0"/>
          <w:lang w:val="da-DK"/>
        </w:rPr>
      </w:pPr>
    </w:p>
    <w:p w14:paraId="44693A77"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Bløddelssarkom</w:t>
      </w:r>
    </w:p>
    <w:p w14:paraId="13F4BF0D" w14:textId="37F9301B" w:rsidR="003563EF" w:rsidRPr="001278B6" w:rsidRDefault="00473235" w:rsidP="001278B6">
      <w:pPr>
        <w:pStyle w:val="a3"/>
        <w:widowControl/>
        <w:adjustRightInd w:val="0"/>
        <w:snapToGrid w:val="0"/>
        <w:rPr>
          <w:snapToGrid w:val="0"/>
          <w:lang w:val="da-DK"/>
        </w:rPr>
      </w:pPr>
      <w:r w:rsidRPr="001278B6">
        <w:rPr>
          <w:snapToGrid w:val="0"/>
          <w:lang w:val="da-DK"/>
        </w:rPr>
        <w:t>I et randomiseret fase II</w:t>
      </w:r>
      <w:r w:rsidR="004B3750">
        <w:rPr>
          <w:snapToGrid w:val="0"/>
          <w:lang w:val="da-DK"/>
        </w:rPr>
        <w:noBreakHyphen/>
      </w:r>
      <w:r w:rsidRPr="001278B6">
        <w:rPr>
          <w:snapToGrid w:val="0"/>
          <w:lang w:val="da-DK"/>
        </w:rPr>
        <w:t>studie (BO20924) blandt ialt 154 patienter i alderen ≥ 6 måneder til &lt;18 år med nylig diagnosticeret metastatisk rabdomyosarkom og ikke</w:t>
      </w:r>
      <w:r w:rsidR="004B3750">
        <w:rPr>
          <w:snapToGrid w:val="0"/>
          <w:lang w:val="da-DK"/>
        </w:rPr>
        <w:noBreakHyphen/>
      </w:r>
      <w:r w:rsidRPr="001278B6">
        <w:rPr>
          <w:snapToGrid w:val="0"/>
          <w:lang w:val="da-DK"/>
        </w:rPr>
        <w:t>rabdomyosarkom bløddelssarkom, blev behandlet med standardbehandling (induktion IVADO/IVA+/</w:t>
      </w:r>
      <w:r w:rsidR="004B3750">
        <w:rPr>
          <w:snapToGrid w:val="0"/>
          <w:lang w:val="da-DK"/>
        </w:rPr>
        <w:noBreakHyphen/>
      </w:r>
      <w:r w:rsidRPr="001278B6">
        <w:rPr>
          <w:snapToGrid w:val="0"/>
          <w:lang w:val="da-DK"/>
        </w:rPr>
        <w:t xml:space="preserve"> lokal behandling efterfulgt af vedligeholdelsebehandling med vinorelbin og cyclophosphamid) med eller uden bevacizumab (2,5</w:t>
      </w:r>
      <w:r w:rsidR="00AA57C2">
        <w:rPr>
          <w:snapToGrid w:val="0"/>
          <w:lang w:val="da-DK"/>
        </w:rPr>
        <w:t> </w:t>
      </w:r>
      <w:r w:rsidRPr="001278B6">
        <w:rPr>
          <w:snapToGrid w:val="0"/>
          <w:lang w:val="da-DK"/>
        </w:rPr>
        <w:t>mg/kg/uge) med en samlet behandlingsvarighed på ca. 18 måneder. Ved den endelige primære analyse var der ingen statistisk signifikant forskel i det primære endepunkt, hændelsesfri overlevelse mellem behandlingsarmene, evalueret af en uafhængig evalueringskomité. HR var 0,93 (95% konfidensinterval: 0,61; 1,41; p</w:t>
      </w:r>
      <w:r w:rsidR="004B3750">
        <w:rPr>
          <w:snapToGrid w:val="0"/>
          <w:lang w:val="da-DK"/>
        </w:rPr>
        <w:noBreakHyphen/>
      </w:r>
      <w:r w:rsidRPr="001278B6">
        <w:rPr>
          <w:snapToGrid w:val="0"/>
          <w:lang w:val="da-DK"/>
        </w:rPr>
        <w:t xml:space="preserve">værdi </w:t>
      </w:r>
      <w:r w:rsidR="00884552" w:rsidRPr="00515644">
        <w:rPr>
          <w:color w:val="000000"/>
          <w:sz w:val="20"/>
          <w:lang w:val="da-DK"/>
        </w:rPr>
        <w:t>=</w:t>
      </w:r>
      <w:r w:rsidRPr="001278B6">
        <w:rPr>
          <w:snapToGrid w:val="0"/>
          <w:lang w:val="da-DK"/>
        </w:rPr>
        <w:t xml:space="preserve"> 0,72). Ifølge en uafhængig evalueringskomité var forskellen i objektiv responsrate 18% (konfidensinterval: 0,6 %; 35,3 %) mellem de to behandlingsarme blandt de få patienter, der havde evaluerbare tumor ved </w:t>
      </w:r>
      <w:r w:rsidRPr="001278B6">
        <w:rPr>
          <w:i/>
          <w:snapToGrid w:val="0"/>
          <w:lang w:val="da-DK"/>
        </w:rPr>
        <w:t xml:space="preserve">baseline </w:t>
      </w:r>
      <w:r w:rsidRPr="001278B6">
        <w:rPr>
          <w:snapToGrid w:val="0"/>
          <w:lang w:val="da-DK"/>
        </w:rPr>
        <w:t>samt en bekræftet respons ved tidligere lokal</w:t>
      </w:r>
      <w:r w:rsidR="00360683">
        <w:rPr>
          <w:snapToGrid w:val="0"/>
          <w:lang w:val="da-DK"/>
        </w:rPr>
        <w:t xml:space="preserve"> </w:t>
      </w:r>
      <w:r w:rsidRPr="001278B6">
        <w:rPr>
          <w:snapToGrid w:val="0"/>
          <w:lang w:val="da-DK"/>
        </w:rPr>
        <w:t>behandling: 27/75 patienter (36,0 %; 95% konfidensinterval: 25,2 %; 47,9 %) i kemoterapi</w:t>
      </w:r>
      <w:r w:rsidR="004B3750">
        <w:rPr>
          <w:snapToGrid w:val="0"/>
          <w:lang w:val="da-DK"/>
        </w:rPr>
        <w:noBreakHyphen/>
      </w:r>
      <w:r w:rsidRPr="001278B6">
        <w:rPr>
          <w:snapToGrid w:val="0"/>
          <w:lang w:val="da-DK"/>
        </w:rPr>
        <w:t>armen og 34/63 patienter (54,0 %; 95 % konfidensinterval: 40,9 %; 66,6 %) i kemoterapi+bevacizumab</w:t>
      </w:r>
      <w:r w:rsidR="004B3750">
        <w:rPr>
          <w:snapToGrid w:val="0"/>
          <w:lang w:val="da-DK"/>
        </w:rPr>
        <w:noBreakHyphen/>
      </w:r>
      <w:r w:rsidRPr="001278B6">
        <w:rPr>
          <w:snapToGrid w:val="0"/>
          <w:lang w:val="da-DK"/>
        </w:rPr>
        <w:t>armen. De endelige analyser af samlet overlevelse viste ingen signifikant klinisk fordel med bevacizumab som tillæg til kemoterapi i denne patient population.</w:t>
      </w:r>
    </w:p>
    <w:p w14:paraId="2F5204B4" w14:textId="77777777" w:rsidR="003563EF" w:rsidRPr="001278B6" w:rsidRDefault="003563EF" w:rsidP="001278B6">
      <w:pPr>
        <w:pStyle w:val="a3"/>
        <w:widowControl/>
        <w:adjustRightInd w:val="0"/>
        <w:snapToGrid w:val="0"/>
        <w:rPr>
          <w:snapToGrid w:val="0"/>
          <w:lang w:val="da-DK"/>
        </w:rPr>
      </w:pPr>
    </w:p>
    <w:p w14:paraId="788B42F5"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I et klinisk studie BO20924 gav et tillæg med </w:t>
      </w:r>
      <w:r w:rsidR="00B25D9F">
        <w:rPr>
          <w:snapToGrid w:val="0"/>
          <w:lang w:val="da-DK"/>
        </w:rPr>
        <w:t>bevacizumab</w:t>
      </w:r>
      <w:r w:rsidRPr="001278B6">
        <w:rPr>
          <w:snapToGrid w:val="0"/>
          <w:lang w:val="da-DK"/>
        </w:rPr>
        <w:t xml:space="preserve"> til standardbehandlingen ingen kliniske fordele hos 71 evaluérbare børn (fra 6 måneder til under 18 år) med metastatisk rabdomyosarkom og ikke</w:t>
      </w:r>
      <w:r w:rsidR="004B3750">
        <w:rPr>
          <w:snapToGrid w:val="0"/>
          <w:lang w:val="da-DK"/>
        </w:rPr>
        <w:noBreakHyphen/>
      </w:r>
      <w:r w:rsidRPr="001278B6">
        <w:rPr>
          <w:snapToGrid w:val="0"/>
          <w:lang w:val="da-DK"/>
        </w:rPr>
        <w:t>rabdomyosarkom bløddelssarkom. (se pkt. 4.2 for information om pædiatrisk anvendelse).</w:t>
      </w:r>
    </w:p>
    <w:p w14:paraId="11949B7B" w14:textId="77777777" w:rsidR="003563EF" w:rsidRPr="001278B6" w:rsidRDefault="003563EF" w:rsidP="001278B6">
      <w:pPr>
        <w:pStyle w:val="a3"/>
        <w:widowControl/>
        <w:adjustRightInd w:val="0"/>
        <w:snapToGrid w:val="0"/>
        <w:rPr>
          <w:snapToGrid w:val="0"/>
          <w:lang w:val="da-DK"/>
        </w:rPr>
      </w:pPr>
    </w:p>
    <w:p w14:paraId="0D1D7582" w14:textId="6DB75144" w:rsidR="003563EF" w:rsidRPr="001278B6" w:rsidRDefault="00473235" w:rsidP="001278B6">
      <w:pPr>
        <w:pStyle w:val="a3"/>
        <w:widowControl/>
        <w:adjustRightInd w:val="0"/>
        <w:snapToGrid w:val="0"/>
        <w:rPr>
          <w:snapToGrid w:val="0"/>
          <w:lang w:val="da-DK"/>
        </w:rPr>
      </w:pPr>
      <w:r w:rsidRPr="001278B6">
        <w:rPr>
          <w:snapToGrid w:val="0"/>
          <w:lang w:val="da-DK"/>
        </w:rPr>
        <w:t xml:space="preserve">Forekomst af bivirkninger, herunder grad </w:t>
      </w:r>
      <w:r w:rsidR="00517355" w:rsidRPr="00361C98">
        <w:rPr>
          <w:rFonts w:ascii="Symbol" w:eastAsia="Symbol" w:hAnsi="Symbol" w:cs="Symbol"/>
          <w:color w:val="000000"/>
          <w:lang w:val="en-GB"/>
        </w:rPr>
        <w:sym w:font="Symbol" w:char="F0B3"/>
      </w:r>
      <w:r w:rsidRPr="001278B6">
        <w:rPr>
          <w:snapToGrid w:val="0"/>
          <w:lang w:val="da-DK"/>
        </w:rPr>
        <w:t xml:space="preserve"> 3 bivirkninger og alvorlige bivirkninger var sammenlignelige mellem de to behandlingsarme. I begge behandlingsarme var der ingen bivirkninger som resulterede i dødsfald. Alle dødsfaldene kunne tilskrives sygdomsprogression. Bevacizumab som tillæg til kombinationsstandardbehandlingen blev tolereret hos denne pædiatriske population</w:t>
      </w:r>
    </w:p>
    <w:p w14:paraId="3E31BC11" w14:textId="77777777" w:rsidR="003563EF" w:rsidRPr="001278B6" w:rsidRDefault="003563EF" w:rsidP="001278B6">
      <w:pPr>
        <w:pStyle w:val="a3"/>
        <w:widowControl/>
        <w:adjustRightInd w:val="0"/>
        <w:snapToGrid w:val="0"/>
        <w:rPr>
          <w:snapToGrid w:val="0"/>
          <w:lang w:val="da-DK"/>
        </w:rPr>
      </w:pPr>
    </w:p>
    <w:p w14:paraId="1508A8BA" w14:textId="77777777" w:rsidR="003563EF" w:rsidRPr="001278B6" w:rsidRDefault="00473235" w:rsidP="001278B6">
      <w:pPr>
        <w:pStyle w:val="2"/>
        <w:keepNext/>
        <w:widowControl/>
        <w:numPr>
          <w:ilvl w:val="1"/>
          <w:numId w:val="17"/>
        </w:numPr>
        <w:adjustRightInd w:val="0"/>
        <w:snapToGrid w:val="0"/>
        <w:ind w:left="0" w:firstLine="0"/>
        <w:rPr>
          <w:snapToGrid w:val="0"/>
          <w:lang w:val="da-DK"/>
        </w:rPr>
      </w:pPr>
      <w:r w:rsidRPr="001278B6">
        <w:rPr>
          <w:snapToGrid w:val="0"/>
          <w:lang w:val="da-DK"/>
        </w:rPr>
        <w:t>Farmakokinetiske egenskaber</w:t>
      </w:r>
    </w:p>
    <w:p w14:paraId="083DA52A" w14:textId="77777777" w:rsidR="003563EF" w:rsidRPr="001278B6" w:rsidRDefault="003563EF" w:rsidP="001278B6">
      <w:pPr>
        <w:pStyle w:val="a3"/>
        <w:keepNext/>
        <w:widowControl/>
        <w:adjustRightInd w:val="0"/>
        <w:snapToGrid w:val="0"/>
        <w:rPr>
          <w:bCs/>
          <w:snapToGrid w:val="0"/>
          <w:lang w:val="da-DK"/>
        </w:rPr>
      </w:pPr>
    </w:p>
    <w:p w14:paraId="3FF5FB93" w14:textId="77777777" w:rsidR="003563EF" w:rsidRPr="001278B6" w:rsidRDefault="00473235" w:rsidP="001278B6">
      <w:pPr>
        <w:pStyle w:val="a3"/>
        <w:widowControl/>
        <w:adjustRightInd w:val="0"/>
        <w:snapToGrid w:val="0"/>
        <w:rPr>
          <w:snapToGrid w:val="0"/>
          <w:lang w:val="da-DK"/>
        </w:rPr>
      </w:pPr>
      <w:r w:rsidRPr="001278B6">
        <w:rPr>
          <w:snapToGrid w:val="0"/>
          <w:lang w:val="da-DK"/>
        </w:rPr>
        <w:t>De farmakokinetiske data for bevacizumab stammer fra 10 kliniske studier hos patienter med solide tumorer. I alle kliniske studier blev bevacizumab administreret som en intravenøs infusion.</w:t>
      </w:r>
      <w:r w:rsidR="007C0B2C">
        <w:rPr>
          <w:snapToGrid w:val="0"/>
          <w:lang w:val="da-DK"/>
        </w:rPr>
        <w:t xml:space="preserve"> </w:t>
      </w:r>
      <w:r w:rsidRPr="001278B6">
        <w:rPr>
          <w:snapToGrid w:val="0"/>
          <w:lang w:val="da-DK"/>
        </w:rPr>
        <w:t>Infusionshastigheden afhang af tolerabiliteten, med en initial infusionsvarighed på 90 minutter. Bevacizumabs farmakokinetik var lineær i dosisområdet 1 til 10</w:t>
      </w:r>
      <w:r w:rsidR="006C1BE0">
        <w:rPr>
          <w:snapToGrid w:val="0"/>
          <w:lang w:val="da-DK"/>
        </w:rPr>
        <w:t> mg</w:t>
      </w:r>
      <w:r w:rsidRPr="001278B6">
        <w:rPr>
          <w:snapToGrid w:val="0"/>
          <w:lang w:val="da-DK"/>
        </w:rPr>
        <w:t>/kg.</w:t>
      </w:r>
    </w:p>
    <w:p w14:paraId="5AC0FC89" w14:textId="77777777" w:rsidR="003563EF" w:rsidRPr="001278B6" w:rsidRDefault="003563EF" w:rsidP="001278B6">
      <w:pPr>
        <w:pStyle w:val="a3"/>
        <w:widowControl/>
        <w:adjustRightInd w:val="0"/>
        <w:snapToGrid w:val="0"/>
        <w:rPr>
          <w:snapToGrid w:val="0"/>
          <w:lang w:val="da-DK"/>
        </w:rPr>
      </w:pPr>
    </w:p>
    <w:p w14:paraId="38A4EE35"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Fordeling</w:t>
      </w:r>
    </w:p>
    <w:p w14:paraId="2A534A50" w14:textId="77777777" w:rsidR="003563EF" w:rsidRPr="001278B6" w:rsidRDefault="00473235" w:rsidP="001278B6">
      <w:pPr>
        <w:pStyle w:val="a3"/>
        <w:widowControl/>
        <w:adjustRightInd w:val="0"/>
        <w:snapToGrid w:val="0"/>
        <w:rPr>
          <w:snapToGrid w:val="0"/>
          <w:lang w:val="da-DK"/>
        </w:rPr>
      </w:pPr>
      <w:r w:rsidRPr="001278B6">
        <w:rPr>
          <w:snapToGrid w:val="0"/>
          <w:lang w:val="da-DK"/>
        </w:rPr>
        <w:t>Den typiske værdi for centralt volumen (Vc) var 2,73 l og 3,28 l for henholdsvis kvindelige og mandlige patienter, hvilket ligger på samme niveau som beskrevet for IgG´er og andre monoklonale antistoffer. Den typiske værdi for det perifere volumen (Vp) var 1,69 l og 2,35 l for henholdsvis kvindelige og mandlige patienter, når bevacizumab administreres sammen med antineoplastiske lægemidler. Efter korrektion for legemsvægt havde mandlige patienter et større Vc (+20 %) end kvindelige patienter.</w:t>
      </w:r>
    </w:p>
    <w:p w14:paraId="5856977B" w14:textId="77777777" w:rsidR="003563EF" w:rsidRPr="001278B6" w:rsidRDefault="003563EF" w:rsidP="001278B6">
      <w:pPr>
        <w:pStyle w:val="a3"/>
        <w:widowControl/>
        <w:adjustRightInd w:val="0"/>
        <w:snapToGrid w:val="0"/>
        <w:rPr>
          <w:snapToGrid w:val="0"/>
          <w:lang w:val="da-DK"/>
        </w:rPr>
      </w:pPr>
    </w:p>
    <w:p w14:paraId="0CFE4146"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Biotransformation</w:t>
      </w:r>
    </w:p>
    <w:p w14:paraId="111ACA03" w14:textId="77777777" w:rsidR="003563EF" w:rsidRPr="001278B6" w:rsidRDefault="00473235" w:rsidP="001278B6">
      <w:pPr>
        <w:pStyle w:val="a3"/>
        <w:widowControl/>
        <w:adjustRightInd w:val="0"/>
        <w:snapToGrid w:val="0"/>
        <w:rPr>
          <w:snapToGrid w:val="0"/>
          <w:lang w:val="da-DK"/>
        </w:rPr>
      </w:pPr>
      <w:r w:rsidRPr="001278B6">
        <w:rPr>
          <w:snapToGrid w:val="0"/>
          <w:lang w:val="da-DK"/>
        </w:rPr>
        <w:t>Vurdering af bevacizumabs metabolisme hos kaniner efter en intravenøs enkeltdosis af</w:t>
      </w:r>
      <w:r w:rsidR="00DF7E87">
        <w:rPr>
          <w:snapToGrid w:val="0"/>
          <w:lang w:val="da-DK"/>
        </w:rPr>
        <w:t xml:space="preserve"> </w:t>
      </w:r>
      <w:r w:rsidRPr="00132F46">
        <w:rPr>
          <w:snapToGrid w:val="0"/>
          <w:vertAlign w:val="superscript"/>
          <w:lang w:val="da-DK"/>
        </w:rPr>
        <w:t>125</w:t>
      </w:r>
      <w:r w:rsidRPr="001278B6">
        <w:rPr>
          <w:snapToGrid w:val="0"/>
          <w:lang w:val="da-DK"/>
        </w:rPr>
        <w:t>I</w:t>
      </w:r>
      <w:r w:rsidR="004B3750">
        <w:rPr>
          <w:snapToGrid w:val="0"/>
          <w:lang w:val="da-DK"/>
        </w:rPr>
        <w:noBreakHyphen/>
      </w:r>
      <w:r w:rsidRPr="001278B6">
        <w:rPr>
          <w:snapToGrid w:val="0"/>
          <w:lang w:val="da-DK"/>
        </w:rPr>
        <w:t>bevacizumab tyder på, at dets metaboliske profil svarer til, hvad der kan forventes af et nativt IgG</w:t>
      </w:r>
      <w:r w:rsidR="004B3750">
        <w:rPr>
          <w:snapToGrid w:val="0"/>
          <w:lang w:val="da-DK"/>
        </w:rPr>
        <w:noBreakHyphen/>
      </w:r>
      <w:r w:rsidRPr="001278B6">
        <w:rPr>
          <w:snapToGrid w:val="0"/>
          <w:lang w:val="da-DK"/>
        </w:rPr>
        <w:t>molekyle, som ikke binder VEGF. Metabolismen og eliminationen af bevacizumab er lignende den for endogent IgG, dvs. primært via proteolytisk katabolisme i hele kroppen inklusive endotelceller. Metabolismen er ikke primært afhængig af elimination gennem nyrerne og leveren. Binding af IgG til FcRn</w:t>
      </w:r>
      <w:r w:rsidR="004B3750">
        <w:rPr>
          <w:snapToGrid w:val="0"/>
          <w:lang w:val="da-DK"/>
        </w:rPr>
        <w:noBreakHyphen/>
      </w:r>
      <w:r w:rsidRPr="001278B6">
        <w:rPr>
          <w:snapToGrid w:val="0"/>
          <w:lang w:val="da-DK"/>
        </w:rPr>
        <w:t>receptoren medfører beskyttelse fra cellulær metabolisme og den lange terminale halveringstid.</w:t>
      </w:r>
    </w:p>
    <w:p w14:paraId="4BC495AD" w14:textId="77777777" w:rsidR="003563EF" w:rsidRPr="001278B6" w:rsidRDefault="003563EF" w:rsidP="001278B6">
      <w:pPr>
        <w:pStyle w:val="a3"/>
        <w:widowControl/>
        <w:adjustRightInd w:val="0"/>
        <w:snapToGrid w:val="0"/>
        <w:rPr>
          <w:snapToGrid w:val="0"/>
          <w:lang w:val="da-DK"/>
        </w:rPr>
      </w:pPr>
    </w:p>
    <w:p w14:paraId="4FAEFDB7"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Elimination</w:t>
      </w:r>
    </w:p>
    <w:p w14:paraId="07483697" w14:textId="77777777" w:rsidR="003563EF" w:rsidRPr="001278B6" w:rsidRDefault="00473235" w:rsidP="001278B6">
      <w:pPr>
        <w:pStyle w:val="a3"/>
        <w:widowControl/>
        <w:adjustRightInd w:val="0"/>
        <w:snapToGrid w:val="0"/>
        <w:rPr>
          <w:snapToGrid w:val="0"/>
          <w:lang w:val="da-DK"/>
        </w:rPr>
      </w:pPr>
      <w:r w:rsidRPr="001278B6">
        <w:rPr>
          <w:snapToGrid w:val="0"/>
          <w:lang w:val="da-DK"/>
        </w:rPr>
        <w:t>Clearance er i gennemsnit 0,188 og 0,220 l/døgn for henholdsvis kvindelige og mandlige patienter. Efter korrektion for legemsvægt havde mandlige patienter en højere bevacizumab</w:t>
      </w:r>
      <w:r w:rsidR="004B3750">
        <w:rPr>
          <w:snapToGrid w:val="0"/>
          <w:lang w:val="da-DK"/>
        </w:rPr>
        <w:noBreakHyphen/>
      </w:r>
      <w:r w:rsidRPr="001278B6">
        <w:rPr>
          <w:snapToGrid w:val="0"/>
          <w:lang w:val="da-DK"/>
        </w:rPr>
        <w:t>clearance (+17 %) i forhold til kvindelige patienter. Ifølge to</w:t>
      </w:r>
      <w:r w:rsidR="004B3750">
        <w:rPr>
          <w:snapToGrid w:val="0"/>
          <w:lang w:val="da-DK"/>
        </w:rPr>
        <w:noBreakHyphen/>
      </w:r>
      <w:r w:rsidRPr="001278B6">
        <w:rPr>
          <w:snapToGrid w:val="0"/>
          <w:lang w:val="da-DK"/>
        </w:rPr>
        <w:t>kompartmentmodellen er halveringstiden for en typisk kvindelig patient 18 dage og 20 dage for en typisk mandlig patient.</w:t>
      </w:r>
    </w:p>
    <w:p w14:paraId="786301EA" w14:textId="77777777" w:rsidR="003563EF" w:rsidRPr="001278B6" w:rsidRDefault="003563EF" w:rsidP="001278B6">
      <w:pPr>
        <w:pStyle w:val="a3"/>
        <w:widowControl/>
        <w:adjustRightInd w:val="0"/>
        <w:snapToGrid w:val="0"/>
        <w:rPr>
          <w:snapToGrid w:val="0"/>
          <w:lang w:val="da-DK"/>
        </w:rPr>
      </w:pPr>
    </w:p>
    <w:p w14:paraId="094D5DA8" w14:textId="77777777" w:rsidR="003563EF" w:rsidRPr="001278B6" w:rsidRDefault="00473235" w:rsidP="001278B6">
      <w:pPr>
        <w:pStyle w:val="a3"/>
        <w:widowControl/>
        <w:adjustRightInd w:val="0"/>
        <w:snapToGrid w:val="0"/>
        <w:rPr>
          <w:snapToGrid w:val="0"/>
          <w:lang w:val="da-DK"/>
        </w:rPr>
      </w:pPr>
      <w:r w:rsidRPr="001278B6">
        <w:rPr>
          <w:snapToGrid w:val="0"/>
          <w:lang w:val="da-DK"/>
        </w:rPr>
        <w:t>Generelt er lav albumin og høj tumorbyrde indikativ for sygdommens sværhedsgrad.Clearance af bevacizumab var ca. 30 % hurtigere hos patienter med lave niveauer af serumalbumin og 7 % hurtigere hos patienter med høj tumorbyrde i forhold til en typisk patient med mediane niveauer af serumalbumin og tumorbyrde.</w:t>
      </w:r>
    </w:p>
    <w:p w14:paraId="780E9C04" w14:textId="77777777" w:rsidR="003563EF" w:rsidRPr="001278B6" w:rsidRDefault="003563EF" w:rsidP="001278B6">
      <w:pPr>
        <w:pStyle w:val="a3"/>
        <w:widowControl/>
        <w:adjustRightInd w:val="0"/>
        <w:snapToGrid w:val="0"/>
        <w:rPr>
          <w:snapToGrid w:val="0"/>
          <w:lang w:val="da-DK"/>
        </w:rPr>
      </w:pPr>
    </w:p>
    <w:p w14:paraId="6384492D" w14:textId="77777777" w:rsidR="003563EF" w:rsidRPr="001278B6" w:rsidRDefault="00473235" w:rsidP="001278B6">
      <w:pPr>
        <w:pStyle w:val="a3"/>
        <w:keepNext/>
        <w:keepLines/>
        <w:widowControl/>
        <w:adjustRightInd w:val="0"/>
        <w:snapToGrid w:val="0"/>
        <w:jc w:val="both"/>
        <w:rPr>
          <w:snapToGrid w:val="0"/>
          <w:lang w:val="da-DK"/>
        </w:rPr>
      </w:pPr>
      <w:r w:rsidRPr="001278B6">
        <w:rPr>
          <w:snapToGrid w:val="0"/>
          <w:u w:val="single"/>
          <w:lang w:val="da-DK"/>
        </w:rPr>
        <w:t>Farmakokinetik hos specielle populationer</w:t>
      </w:r>
    </w:p>
    <w:p w14:paraId="64F829C6" w14:textId="77777777" w:rsidR="003563EF" w:rsidRPr="001278B6" w:rsidRDefault="00473235" w:rsidP="001278B6">
      <w:pPr>
        <w:pStyle w:val="a3"/>
        <w:widowControl/>
        <w:adjustRightInd w:val="0"/>
        <w:snapToGrid w:val="0"/>
        <w:rPr>
          <w:snapToGrid w:val="0"/>
          <w:lang w:val="da-DK"/>
        </w:rPr>
      </w:pPr>
      <w:r w:rsidRPr="001278B6">
        <w:rPr>
          <w:snapToGrid w:val="0"/>
          <w:lang w:val="da-DK"/>
        </w:rPr>
        <w:t>Populationsfarmakokinetiske data hos voksne og pædiatriske patienter blev analyseret for at evaluere virkningen af demografiske karakteristika. Hos voksne viste resultaterne ingen signifikante forskelle i bevacizumabs farmakokinetik i relation til alder.</w:t>
      </w:r>
    </w:p>
    <w:p w14:paraId="1F677663" w14:textId="77777777" w:rsidR="0079124A" w:rsidRPr="001278B6" w:rsidRDefault="0079124A" w:rsidP="001278B6">
      <w:pPr>
        <w:widowControl/>
        <w:adjustRightInd w:val="0"/>
        <w:snapToGrid w:val="0"/>
        <w:jc w:val="both"/>
        <w:rPr>
          <w:snapToGrid w:val="0"/>
          <w:lang w:val="da-DK"/>
        </w:rPr>
      </w:pPr>
    </w:p>
    <w:p w14:paraId="5F356531"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Nedsat nyrefunktion</w:t>
      </w:r>
    </w:p>
    <w:p w14:paraId="1E77EF9B"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ikke foretaget studier for at undersøge bevacizumabs farmakokinetik hos patienter med nedsat nyrefunktion, idet metabolismen og udskillelsen af bevacizumab i det væsentlige ikke finder sted i nyrerne.</w:t>
      </w:r>
    </w:p>
    <w:p w14:paraId="7A2FC8E0" w14:textId="77777777" w:rsidR="003563EF" w:rsidRPr="001278B6" w:rsidRDefault="003563EF" w:rsidP="001278B6">
      <w:pPr>
        <w:pStyle w:val="a3"/>
        <w:widowControl/>
        <w:adjustRightInd w:val="0"/>
        <w:snapToGrid w:val="0"/>
        <w:rPr>
          <w:snapToGrid w:val="0"/>
          <w:lang w:val="da-DK"/>
        </w:rPr>
      </w:pPr>
    </w:p>
    <w:p w14:paraId="163A22BA"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t>Nedsat leverfunktion</w:t>
      </w:r>
    </w:p>
    <w:p w14:paraId="4F52FC08"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ikke foretaget studier for at undersøge bevacizumabs farmakokinetik hos patienter med nedsat leverfunktion, idet metabolismen og udskillelsen af bevacizumab i det væsentlige ikke finder sted i leveren.</w:t>
      </w:r>
    </w:p>
    <w:p w14:paraId="3D9B9D2B" w14:textId="77777777" w:rsidR="003563EF" w:rsidRPr="001278B6" w:rsidRDefault="003563EF" w:rsidP="001278B6">
      <w:pPr>
        <w:pStyle w:val="a3"/>
        <w:widowControl/>
        <w:adjustRightInd w:val="0"/>
        <w:snapToGrid w:val="0"/>
        <w:rPr>
          <w:snapToGrid w:val="0"/>
          <w:lang w:val="da-DK"/>
        </w:rPr>
      </w:pPr>
    </w:p>
    <w:p w14:paraId="15E9416E" w14:textId="77777777" w:rsidR="003563EF" w:rsidRPr="00F466A3" w:rsidRDefault="00473235" w:rsidP="001278B6">
      <w:pPr>
        <w:keepNext/>
        <w:keepLines/>
        <w:widowControl/>
        <w:adjustRightInd w:val="0"/>
        <w:snapToGrid w:val="0"/>
        <w:rPr>
          <w:i/>
          <w:snapToGrid w:val="0"/>
          <w:u w:val="single"/>
          <w:lang w:val="da-DK"/>
        </w:rPr>
      </w:pPr>
      <w:r w:rsidRPr="00F466A3">
        <w:rPr>
          <w:i/>
          <w:snapToGrid w:val="0"/>
          <w:u w:val="single"/>
          <w:lang w:val="da-DK"/>
        </w:rPr>
        <w:lastRenderedPageBreak/>
        <w:t>Pædiatrisk population</w:t>
      </w:r>
    </w:p>
    <w:p w14:paraId="307FE564"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Bevacizumabs farmakokinetikblev evalueret hos 152 børn, unge og unge voksne (7 måneder til 21 år; 5,9</w:t>
      </w:r>
      <w:r w:rsidR="00B0623C">
        <w:rPr>
          <w:snapToGrid w:val="0"/>
          <w:lang w:val="da-DK"/>
        </w:rPr>
        <w:t> </w:t>
      </w:r>
      <w:r w:rsidRPr="001278B6">
        <w:rPr>
          <w:snapToGrid w:val="0"/>
          <w:lang w:val="da-DK"/>
        </w:rPr>
        <w:t>kg til 125 kg) på tværs af 4 kliniske studier ved hjælp af en populationsfarmakokinetisk model.</w:t>
      </w:r>
    </w:p>
    <w:p w14:paraId="358FEB4B" w14:textId="77777777" w:rsidR="003563EF" w:rsidRPr="001278B6" w:rsidRDefault="00473235" w:rsidP="001278B6">
      <w:pPr>
        <w:pStyle w:val="a3"/>
        <w:widowControl/>
        <w:adjustRightInd w:val="0"/>
        <w:snapToGrid w:val="0"/>
        <w:rPr>
          <w:snapToGrid w:val="0"/>
          <w:lang w:val="da-DK"/>
        </w:rPr>
      </w:pPr>
      <w:r w:rsidRPr="001278B6">
        <w:rPr>
          <w:snapToGrid w:val="0"/>
          <w:lang w:val="da-DK"/>
        </w:rPr>
        <w:t>Resultaterne viser, at bevacizumabs clearance og distributionsvolumen er sammenlignelige hos børn og unge voksne, når der bliver justeret for legemsvægt med en tendens til lavere eksponering ved lavere legemsvægt. Alder havde ingen indvirkning på bevacizumabs farmakokinetik, når der blev taget hensyn til legemsvægt.</w:t>
      </w:r>
    </w:p>
    <w:p w14:paraId="6D427E66" w14:textId="77777777" w:rsidR="003563EF" w:rsidRPr="001278B6" w:rsidRDefault="003563EF" w:rsidP="001278B6">
      <w:pPr>
        <w:pStyle w:val="a3"/>
        <w:widowControl/>
        <w:adjustRightInd w:val="0"/>
        <w:snapToGrid w:val="0"/>
        <w:rPr>
          <w:snapToGrid w:val="0"/>
          <w:lang w:val="da-DK"/>
        </w:rPr>
      </w:pPr>
    </w:p>
    <w:p w14:paraId="2AF80D4F" w14:textId="077AE29F" w:rsidR="003563EF" w:rsidRPr="001278B6" w:rsidRDefault="00473235" w:rsidP="001278B6">
      <w:pPr>
        <w:pStyle w:val="a3"/>
        <w:widowControl/>
        <w:adjustRightInd w:val="0"/>
        <w:snapToGrid w:val="0"/>
        <w:rPr>
          <w:snapToGrid w:val="0"/>
          <w:lang w:val="da-DK"/>
        </w:rPr>
      </w:pPr>
      <w:r w:rsidRPr="001278B6">
        <w:rPr>
          <w:snapToGrid w:val="0"/>
          <w:lang w:val="da-DK"/>
        </w:rPr>
        <w:t>Bevacizumabs farmakokinetik er vel karakteriseret med den pædiatriske populationsfarmakokinetiske model med data fra 70 patienter i studie BO20294 (1,4</w:t>
      </w:r>
      <w:r w:rsidR="004B3750">
        <w:rPr>
          <w:snapToGrid w:val="0"/>
          <w:lang w:val="da-DK"/>
        </w:rPr>
        <w:noBreakHyphen/>
      </w:r>
      <w:r w:rsidRPr="001278B6">
        <w:rPr>
          <w:snapToGrid w:val="0"/>
          <w:lang w:val="da-DK"/>
        </w:rPr>
        <w:t>17,6 år; 11,6</w:t>
      </w:r>
      <w:r w:rsidR="004B3750">
        <w:rPr>
          <w:snapToGrid w:val="0"/>
          <w:lang w:val="da-DK"/>
        </w:rPr>
        <w:noBreakHyphen/>
      </w:r>
      <w:r w:rsidRPr="001278B6">
        <w:rPr>
          <w:snapToGrid w:val="0"/>
          <w:lang w:val="da-DK"/>
        </w:rPr>
        <w:t>77,5 kg) og 59 patienter i studie BO25041(1</w:t>
      </w:r>
      <w:r w:rsidR="004B3750">
        <w:rPr>
          <w:snapToGrid w:val="0"/>
          <w:lang w:val="da-DK"/>
        </w:rPr>
        <w:noBreakHyphen/>
      </w:r>
      <w:r w:rsidRPr="001278B6">
        <w:rPr>
          <w:snapToGrid w:val="0"/>
          <w:lang w:val="da-DK"/>
        </w:rPr>
        <w:t>17 år; 11,2</w:t>
      </w:r>
      <w:r w:rsidR="004B3750">
        <w:rPr>
          <w:snapToGrid w:val="0"/>
          <w:lang w:val="da-DK"/>
        </w:rPr>
        <w:noBreakHyphen/>
      </w:r>
      <w:r w:rsidRPr="001278B6">
        <w:rPr>
          <w:snapToGrid w:val="0"/>
          <w:lang w:val="da-DK"/>
        </w:rPr>
        <w:t xml:space="preserve">82,3 kg). I studie BO20294 var eksponeringen af bevacizumab generelt lavere sammenlignet med eksponeringen hos en typisk voksen patient ved samme dosis. I studie BO25041 var eksponeringen af bevacizumab sammenlignelig med eksponeringen hos en typisk voksen ved samme dosis. I begge studier var der en tendens til, at eksponeringen </w:t>
      </w:r>
      <w:r w:rsidR="00517355">
        <w:rPr>
          <w:snapToGrid w:val="0"/>
          <w:lang w:val="da-DK"/>
        </w:rPr>
        <w:t xml:space="preserve">af </w:t>
      </w:r>
      <w:r w:rsidR="00517355" w:rsidRPr="009A3C0C">
        <w:rPr>
          <w:color w:val="000000"/>
          <w:lang w:val="da-DK"/>
        </w:rPr>
        <w:t xml:space="preserve">bevacizumab </w:t>
      </w:r>
      <w:r w:rsidRPr="001278B6">
        <w:rPr>
          <w:snapToGrid w:val="0"/>
          <w:lang w:val="da-DK"/>
        </w:rPr>
        <w:t>var lavere ved lavere legemsvægt.</w:t>
      </w:r>
    </w:p>
    <w:p w14:paraId="09236C17" w14:textId="77777777" w:rsidR="003563EF" w:rsidRPr="001278B6" w:rsidRDefault="003563EF" w:rsidP="001278B6">
      <w:pPr>
        <w:pStyle w:val="a3"/>
        <w:widowControl/>
        <w:adjustRightInd w:val="0"/>
        <w:snapToGrid w:val="0"/>
        <w:rPr>
          <w:snapToGrid w:val="0"/>
          <w:lang w:val="da-DK"/>
        </w:rPr>
      </w:pPr>
    </w:p>
    <w:p w14:paraId="2EF66069" w14:textId="77777777" w:rsidR="003563EF" w:rsidRPr="001278B6" w:rsidRDefault="00473235" w:rsidP="001278B6">
      <w:pPr>
        <w:pStyle w:val="2"/>
        <w:keepNext/>
        <w:keepLines/>
        <w:widowControl/>
        <w:numPr>
          <w:ilvl w:val="1"/>
          <w:numId w:val="17"/>
        </w:numPr>
        <w:adjustRightInd w:val="0"/>
        <w:snapToGrid w:val="0"/>
        <w:ind w:left="0" w:firstLine="0"/>
        <w:rPr>
          <w:snapToGrid w:val="0"/>
          <w:lang w:val="da-DK"/>
        </w:rPr>
      </w:pPr>
      <w:r w:rsidRPr="001278B6">
        <w:rPr>
          <w:snapToGrid w:val="0"/>
          <w:lang w:val="da-DK"/>
        </w:rPr>
        <w:t>Non</w:t>
      </w:r>
      <w:r w:rsidR="004B3750">
        <w:rPr>
          <w:snapToGrid w:val="0"/>
          <w:lang w:val="da-DK"/>
        </w:rPr>
        <w:noBreakHyphen/>
      </w:r>
      <w:r w:rsidRPr="001278B6">
        <w:rPr>
          <w:snapToGrid w:val="0"/>
          <w:lang w:val="da-DK"/>
        </w:rPr>
        <w:t>kliniske sikkerhedsdata</w:t>
      </w:r>
    </w:p>
    <w:p w14:paraId="3CDD5C82" w14:textId="77777777" w:rsidR="003563EF" w:rsidRPr="001278B6" w:rsidRDefault="003563EF" w:rsidP="001278B6">
      <w:pPr>
        <w:pStyle w:val="a3"/>
        <w:keepNext/>
        <w:keepLines/>
        <w:widowControl/>
        <w:adjustRightInd w:val="0"/>
        <w:snapToGrid w:val="0"/>
        <w:rPr>
          <w:bCs/>
          <w:snapToGrid w:val="0"/>
          <w:lang w:val="da-DK"/>
        </w:rPr>
      </w:pPr>
    </w:p>
    <w:p w14:paraId="1332C231"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I studier af op til 26 ugers varighed på cynomolgus aber observeredes vækstforstyrrelser hos unge dyr med åbne vækstzoner efter bevacizumab middel</w:t>
      </w:r>
      <w:r w:rsidR="004B3750">
        <w:rPr>
          <w:snapToGrid w:val="0"/>
          <w:lang w:val="da-DK"/>
        </w:rPr>
        <w:noBreakHyphen/>
      </w:r>
      <w:r w:rsidRPr="001278B6">
        <w:rPr>
          <w:snapToGrid w:val="0"/>
          <w:lang w:val="da-DK"/>
        </w:rPr>
        <w:t>serumkoncentrationer under den forventede humane terapeutiske middel</w:t>
      </w:r>
      <w:r w:rsidR="004B3750">
        <w:rPr>
          <w:snapToGrid w:val="0"/>
          <w:lang w:val="da-DK"/>
        </w:rPr>
        <w:noBreakHyphen/>
      </w:r>
      <w:r w:rsidRPr="001278B6">
        <w:rPr>
          <w:snapToGrid w:val="0"/>
          <w:lang w:val="da-DK"/>
        </w:rPr>
        <w:t>serumkoncentration. Hos kaniner er det vist, at bevacizumab hæmmer sårheling i doser under den foreslåede kliniske dosis. Det blev vist, at effekten på sårheling var helt reversibel.</w:t>
      </w:r>
    </w:p>
    <w:p w14:paraId="1D5098E9" w14:textId="77777777" w:rsidR="003563EF" w:rsidRPr="001278B6" w:rsidRDefault="003563EF" w:rsidP="001278B6">
      <w:pPr>
        <w:pStyle w:val="a3"/>
        <w:widowControl/>
        <w:adjustRightInd w:val="0"/>
        <w:snapToGrid w:val="0"/>
        <w:rPr>
          <w:snapToGrid w:val="0"/>
          <w:lang w:val="da-DK"/>
        </w:rPr>
      </w:pPr>
    </w:p>
    <w:p w14:paraId="3806E495" w14:textId="0A88B282" w:rsidR="003563EF" w:rsidRPr="001278B6" w:rsidRDefault="00473235" w:rsidP="001278B6">
      <w:pPr>
        <w:pStyle w:val="a3"/>
        <w:widowControl/>
        <w:adjustRightInd w:val="0"/>
        <w:snapToGrid w:val="0"/>
        <w:jc w:val="both"/>
        <w:rPr>
          <w:snapToGrid w:val="0"/>
          <w:lang w:val="da-DK"/>
        </w:rPr>
      </w:pPr>
      <w:r w:rsidRPr="001278B6">
        <w:rPr>
          <w:snapToGrid w:val="0"/>
          <w:lang w:val="da-DK"/>
        </w:rPr>
        <w:t xml:space="preserve">Der er ikke foretaget studier for at evaluere </w:t>
      </w:r>
      <w:r w:rsidR="00FE7FC1">
        <w:rPr>
          <w:snapToGrid w:val="0"/>
          <w:lang w:val="da-DK"/>
        </w:rPr>
        <w:t>bevacizumab</w:t>
      </w:r>
      <w:r w:rsidR="00FE7FC1" w:rsidRPr="001278B6">
        <w:rPr>
          <w:snapToGrid w:val="0"/>
          <w:lang w:val="da-DK"/>
        </w:rPr>
        <w:t xml:space="preserve">s </w:t>
      </w:r>
      <w:r w:rsidRPr="001278B6">
        <w:rPr>
          <w:snapToGrid w:val="0"/>
          <w:lang w:val="da-DK"/>
        </w:rPr>
        <w:t>carcinogene og mutagene potentiale.</w:t>
      </w:r>
    </w:p>
    <w:p w14:paraId="7B7BFBF8" w14:textId="77777777" w:rsidR="003563EF" w:rsidRPr="001278B6" w:rsidRDefault="003563EF" w:rsidP="001278B6">
      <w:pPr>
        <w:pStyle w:val="a3"/>
        <w:widowControl/>
        <w:adjustRightInd w:val="0"/>
        <w:snapToGrid w:val="0"/>
        <w:rPr>
          <w:snapToGrid w:val="0"/>
          <w:lang w:val="da-DK"/>
        </w:rPr>
      </w:pPr>
    </w:p>
    <w:p w14:paraId="5E7E631C" w14:textId="77777777" w:rsidR="003563EF" w:rsidRPr="001278B6" w:rsidRDefault="00473235" w:rsidP="001278B6">
      <w:pPr>
        <w:pStyle w:val="a3"/>
        <w:widowControl/>
        <w:adjustRightInd w:val="0"/>
        <w:snapToGrid w:val="0"/>
        <w:rPr>
          <w:snapToGrid w:val="0"/>
          <w:lang w:val="da-DK"/>
        </w:rPr>
      </w:pPr>
      <w:r w:rsidRPr="001278B6">
        <w:rPr>
          <w:snapToGrid w:val="0"/>
          <w:lang w:val="da-DK"/>
        </w:rPr>
        <w:t>Der er ikke foretaget specifikke dyreforsøg for at undersøge virkningen på fertilitet. Der kan dog forventes en skadelig effekt på fertiliteten hos kvinder, da toksicitetsstudier på dyr med gentagne doser har vist hæmning af modningen af ovariefollikler og et fald/fravær af corpora lutea og ledsagende reduktion i vægten af ovarier og uterus samt et fald i antallet af menstruationscykler.</w:t>
      </w:r>
    </w:p>
    <w:p w14:paraId="31AD197E" w14:textId="77777777" w:rsidR="003563EF" w:rsidRPr="001278B6" w:rsidRDefault="003563EF" w:rsidP="001278B6">
      <w:pPr>
        <w:pStyle w:val="a3"/>
        <w:widowControl/>
        <w:adjustRightInd w:val="0"/>
        <w:snapToGrid w:val="0"/>
        <w:rPr>
          <w:snapToGrid w:val="0"/>
          <w:lang w:val="da-DK"/>
        </w:rPr>
      </w:pPr>
    </w:p>
    <w:p w14:paraId="58B7B4F6" w14:textId="77777777" w:rsidR="003563EF" w:rsidRPr="001278B6" w:rsidRDefault="00473235" w:rsidP="001278B6">
      <w:pPr>
        <w:pStyle w:val="a3"/>
        <w:widowControl/>
        <w:adjustRightInd w:val="0"/>
        <w:snapToGrid w:val="0"/>
        <w:rPr>
          <w:snapToGrid w:val="0"/>
          <w:lang w:val="da-DK"/>
        </w:rPr>
      </w:pPr>
      <w:r w:rsidRPr="001278B6">
        <w:rPr>
          <w:snapToGrid w:val="0"/>
          <w:lang w:val="da-DK"/>
        </w:rPr>
        <w:t>Det er vist, at bevacizumab er embryotoksisk og teratogent, når det gives til kaniner. De observerede virkninger omfatter fald i maternel og føtal vægt, et øget antal af føtale resorptioner og en øget hyppighed af specifikke grove og skeletale misdannelser hos fostret. Der blev observeret skadelige virkninger på fostret ved alle afprøvede doser, af hvilke den laveste dosis medførte</w:t>
      </w:r>
      <w:r w:rsidR="00DF7E87">
        <w:rPr>
          <w:snapToGrid w:val="0"/>
          <w:lang w:val="da-DK"/>
        </w:rPr>
        <w:t xml:space="preserve"> </w:t>
      </w:r>
      <w:r w:rsidRPr="001278B6">
        <w:rPr>
          <w:snapToGrid w:val="0"/>
          <w:lang w:val="da-DK"/>
        </w:rPr>
        <w:t>middel</w:t>
      </w:r>
      <w:r w:rsidR="004B3750">
        <w:rPr>
          <w:snapToGrid w:val="0"/>
          <w:lang w:val="da-DK"/>
        </w:rPr>
        <w:noBreakHyphen/>
      </w:r>
      <w:r w:rsidRPr="001278B6">
        <w:rPr>
          <w:snapToGrid w:val="0"/>
          <w:lang w:val="da-DK"/>
        </w:rPr>
        <w:t>serumkoncentrationer, som var ca. 3 gange større end hos mennesker, som fik 5</w:t>
      </w:r>
      <w:r w:rsidR="006C1BE0">
        <w:rPr>
          <w:snapToGrid w:val="0"/>
          <w:lang w:val="da-DK"/>
        </w:rPr>
        <w:t> mg</w:t>
      </w:r>
      <w:r w:rsidRPr="001278B6">
        <w:rPr>
          <w:snapToGrid w:val="0"/>
          <w:lang w:val="da-DK"/>
        </w:rPr>
        <w:t>/kg hver 2.</w:t>
      </w:r>
      <w:r w:rsidR="00DF7E87">
        <w:rPr>
          <w:snapToGrid w:val="0"/>
          <w:lang w:val="da-DK"/>
        </w:rPr>
        <w:t> </w:t>
      </w:r>
      <w:r w:rsidRPr="001278B6">
        <w:rPr>
          <w:snapToGrid w:val="0"/>
          <w:lang w:val="da-DK"/>
        </w:rPr>
        <w:t>uge. Information om føtale misdannelser observeret efter markedsføring er angivet i pkt. 4.6 og pkt.</w:t>
      </w:r>
      <w:r w:rsidR="00DF7E87">
        <w:rPr>
          <w:snapToGrid w:val="0"/>
          <w:lang w:val="da-DK"/>
        </w:rPr>
        <w:t> </w:t>
      </w:r>
      <w:r w:rsidRPr="001278B6">
        <w:rPr>
          <w:snapToGrid w:val="0"/>
          <w:lang w:val="da-DK"/>
        </w:rPr>
        <w:t>4.8.</w:t>
      </w:r>
    </w:p>
    <w:p w14:paraId="1AA6386E" w14:textId="77777777" w:rsidR="0079124A" w:rsidRDefault="0079124A" w:rsidP="006D0605">
      <w:pPr>
        <w:widowControl/>
        <w:adjustRightInd w:val="0"/>
        <w:snapToGrid w:val="0"/>
        <w:rPr>
          <w:snapToGrid w:val="0"/>
          <w:lang w:val="da-DK"/>
        </w:rPr>
      </w:pPr>
    </w:p>
    <w:p w14:paraId="75CF9F7C" w14:textId="77777777" w:rsidR="000E2F2D" w:rsidRPr="001278B6" w:rsidRDefault="000E2F2D" w:rsidP="001278B6">
      <w:pPr>
        <w:widowControl/>
        <w:adjustRightInd w:val="0"/>
        <w:snapToGrid w:val="0"/>
        <w:rPr>
          <w:snapToGrid w:val="0"/>
          <w:lang w:val="da-DK"/>
        </w:rPr>
      </w:pPr>
    </w:p>
    <w:p w14:paraId="39265BD9" w14:textId="77777777" w:rsidR="003563EF" w:rsidRPr="001278B6" w:rsidRDefault="00473235" w:rsidP="001278B6">
      <w:pPr>
        <w:pStyle w:val="1"/>
        <w:keepNext/>
        <w:keepLines/>
        <w:widowControl/>
        <w:numPr>
          <w:ilvl w:val="0"/>
          <w:numId w:val="8"/>
        </w:numPr>
        <w:adjustRightInd w:val="0"/>
        <w:snapToGrid w:val="0"/>
        <w:ind w:left="0" w:firstLine="0"/>
        <w:rPr>
          <w:snapToGrid w:val="0"/>
          <w:lang w:val="da-DK"/>
        </w:rPr>
      </w:pPr>
      <w:r w:rsidRPr="001278B6">
        <w:rPr>
          <w:snapToGrid w:val="0"/>
          <w:lang w:val="da-DK"/>
        </w:rPr>
        <w:t>FARMACEUTISKE OPLYSNINGER</w:t>
      </w:r>
    </w:p>
    <w:p w14:paraId="0F9E5ACB" w14:textId="77777777" w:rsidR="003563EF" w:rsidRPr="001278B6" w:rsidRDefault="003563EF" w:rsidP="001278B6">
      <w:pPr>
        <w:pStyle w:val="a3"/>
        <w:keepNext/>
        <w:keepLines/>
        <w:widowControl/>
        <w:adjustRightInd w:val="0"/>
        <w:snapToGrid w:val="0"/>
        <w:rPr>
          <w:bCs/>
          <w:snapToGrid w:val="0"/>
          <w:lang w:val="da-DK"/>
        </w:rPr>
      </w:pPr>
    </w:p>
    <w:p w14:paraId="490DD1BF"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t>Hjælpestoffer</w:t>
      </w:r>
    </w:p>
    <w:p w14:paraId="3234687A" w14:textId="77777777" w:rsidR="003563EF" w:rsidRPr="001278B6" w:rsidRDefault="003563EF" w:rsidP="001278B6">
      <w:pPr>
        <w:pStyle w:val="a3"/>
        <w:keepNext/>
        <w:keepLines/>
        <w:widowControl/>
        <w:adjustRightInd w:val="0"/>
        <w:snapToGrid w:val="0"/>
        <w:rPr>
          <w:bCs/>
          <w:snapToGrid w:val="0"/>
          <w:lang w:val="da-DK"/>
        </w:rPr>
      </w:pPr>
    </w:p>
    <w:p w14:paraId="1F98CCDD" w14:textId="77777777" w:rsidR="00873315" w:rsidRDefault="00473235" w:rsidP="001278B6">
      <w:pPr>
        <w:pStyle w:val="a3"/>
        <w:keepNext/>
        <w:keepLines/>
        <w:widowControl/>
        <w:adjustRightInd w:val="0"/>
        <w:snapToGrid w:val="0"/>
        <w:rPr>
          <w:snapToGrid w:val="0"/>
          <w:lang w:val="da-DK"/>
        </w:rPr>
      </w:pPr>
      <w:r w:rsidRPr="001278B6">
        <w:rPr>
          <w:snapToGrid w:val="0"/>
          <w:lang w:val="da-DK"/>
        </w:rPr>
        <w:t xml:space="preserve">Trehalosedihydrat </w:t>
      </w:r>
    </w:p>
    <w:p w14:paraId="43F80B22" w14:textId="77777777" w:rsidR="00873315" w:rsidRDefault="00473235" w:rsidP="001278B6">
      <w:pPr>
        <w:pStyle w:val="a3"/>
        <w:keepNext/>
        <w:keepLines/>
        <w:widowControl/>
        <w:adjustRightInd w:val="0"/>
        <w:snapToGrid w:val="0"/>
        <w:rPr>
          <w:snapToGrid w:val="0"/>
          <w:lang w:val="da-DK"/>
        </w:rPr>
      </w:pPr>
      <w:r w:rsidRPr="001278B6">
        <w:rPr>
          <w:snapToGrid w:val="0"/>
          <w:lang w:val="da-DK"/>
        </w:rPr>
        <w:t xml:space="preserve">Natriumphosphat </w:t>
      </w:r>
    </w:p>
    <w:p w14:paraId="1DCFF0D1"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Polysorbat 20</w:t>
      </w:r>
    </w:p>
    <w:p w14:paraId="4D56571E" w14:textId="77777777" w:rsidR="003563EF" w:rsidRPr="001278B6" w:rsidRDefault="00473235" w:rsidP="001278B6">
      <w:pPr>
        <w:pStyle w:val="a3"/>
        <w:widowControl/>
        <w:adjustRightInd w:val="0"/>
        <w:snapToGrid w:val="0"/>
        <w:rPr>
          <w:snapToGrid w:val="0"/>
          <w:lang w:val="da-DK"/>
        </w:rPr>
      </w:pPr>
      <w:r w:rsidRPr="001278B6">
        <w:rPr>
          <w:snapToGrid w:val="0"/>
          <w:lang w:val="da-DK"/>
        </w:rPr>
        <w:t>Vand til injektionsvæsker</w:t>
      </w:r>
    </w:p>
    <w:p w14:paraId="045907E6" w14:textId="77777777" w:rsidR="003563EF" w:rsidRPr="001278B6" w:rsidRDefault="003563EF" w:rsidP="001278B6">
      <w:pPr>
        <w:pStyle w:val="a3"/>
        <w:widowControl/>
        <w:adjustRightInd w:val="0"/>
        <w:snapToGrid w:val="0"/>
        <w:rPr>
          <w:snapToGrid w:val="0"/>
          <w:lang w:val="da-DK"/>
        </w:rPr>
      </w:pPr>
    </w:p>
    <w:p w14:paraId="6690A88B"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t>Uforligeligheder</w:t>
      </w:r>
    </w:p>
    <w:p w14:paraId="569EB9DB" w14:textId="77777777" w:rsidR="003563EF" w:rsidRPr="001278B6" w:rsidRDefault="003563EF" w:rsidP="001278B6">
      <w:pPr>
        <w:pStyle w:val="a3"/>
        <w:keepNext/>
        <w:keepLines/>
        <w:widowControl/>
        <w:adjustRightInd w:val="0"/>
        <w:snapToGrid w:val="0"/>
        <w:rPr>
          <w:bCs/>
          <w:snapToGrid w:val="0"/>
          <w:lang w:val="da-DK"/>
        </w:rPr>
      </w:pPr>
    </w:p>
    <w:p w14:paraId="224CECD6" w14:textId="77777777" w:rsidR="003563EF" w:rsidRPr="001278B6" w:rsidRDefault="00473235" w:rsidP="001278B6">
      <w:pPr>
        <w:pStyle w:val="a3"/>
        <w:widowControl/>
        <w:adjustRightInd w:val="0"/>
        <w:snapToGrid w:val="0"/>
        <w:rPr>
          <w:snapToGrid w:val="0"/>
          <w:lang w:val="da-DK"/>
        </w:rPr>
      </w:pPr>
      <w:r w:rsidRPr="001278B6">
        <w:rPr>
          <w:snapToGrid w:val="0"/>
          <w:lang w:val="da-DK"/>
        </w:rPr>
        <w:t>Dette lægemiddel må ikke blandes med andre lægemidler end dem, der er anført under pkt. 6.6.</w:t>
      </w:r>
    </w:p>
    <w:p w14:paraId="7C26A541" w14:textId="77777777" w:rsidR="003563EF" w:rsidRPr="001278B6" w:rsidRDefault="003563EF" w:rsidP="001278B6">
      <w:pPr>
        <w:pStyle w:val="a3"/>
        <w:widowControl/>
        <w:adjustRightInd w:val="0"/>
        <w:snapToGrid w:val="0"/>
        <w:rPr>
          <w:snapToGrid w:val="0"/>
          <w:lang w:val="da-DK"/>
        </w:rPr>
      </w:pPr>
    </w:p>
    <w:p w14:paraId="719EB4CF" w14:textId="77777777" w:rsidR="003563EF" w:rsidRPr="001278B6" w:rsidRDefault="00473235" w:rsidP="001278B6">
      <w:pPr>
        <w:pStyle w:val="a3"/>
        <w:widowControl/>
        <w:adjustRightInd w:val="0"/>
        <w:snapToGrid w:val="0"/>
        <w:rPr>
          <w:snapToGrid w:val="0"/>
          <w:lang w:val="da-DK"/>
        </w:rPr>
      </w:pPr>
      <w:r w:rsidRPr="001278B6">
        <w:rPr>
          <w:snapToGrid w:val="0"/>
          <w:lang w:val="da-DK"/>
        </w:rPr>
        <w:t>Der blev set en koncentrationsafhængig nedbrydningsprofil for bevacizumab efter fortynding med glucoseopløsninger (5 %).</w:t>
      </w:r>
    </w:p>
    <w:p w14:paraId="708B4F53" w14:textId="77777777" w:rsidR="003563EF" w:rsidRPr="001278B6" w:rsidRDefault="003563EF" w:rsidP="001278B6">
      <w:pPr>
        <w:pStyle w:val="a3"/>
        <w:widowControl/>
        <w:adjustRightInd w:val="0"/>
        <w:snapToGrid w:val="0"/>
        <w:rPr>
          <w:snapToGrid w:val="0"/>
          <w:lang w:val="da-DK"/>
        </w:rPr>
      </w:pPr>
    </w:p>
    <w:p w14:paraId="2B6F132C"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lastRenderedPageBreak/>
        <w:t>Opbevaringstid</w:t>
      </w:r>
    </w:p>
    <w:p w14:paraId="5F3F47BD" w14:textId="77777777" w:rsidR="003563EF" w:rsidRPr="001278B6" w:rsidRDefault="003563EF" w:rsidP="001278B6">
      <w:pPr>
        <w:pStyle w:val="a3"/>
        <w:keepNext/>
        <w:keepLines/>
        <w:widowControl/>
        <w:adjustRightInd w:val="0"/>
        <w:snapToGrid w:val="0"/>
        <w:rPr>
          <w:bCs/>
          <w:snapToGrid w:val="0"/>
          <w:lang w:val="da-DK"/>
        </w:rPr>
      </w:pPr>
    </w:p>
    <w:p w14:paraId="19B005D0" w14:textId="77777777" w:rsidR="003563EF" w:rsidRPr="001278B6" w:rsidRDefault="00B25D9F" w:rsidP="001278B6">
      <w:pPr>
        <w:pStyle w:val="a3"/>
        <w:keepNext/>
        <w:keepLines/>
        <w:widowControl/>
        <w:adjustRightInd w:val="0"/>
        <w:snapToGrid w:val="0"/>
        <w:rPr>
          <w:snapToGrid w:val="0"/>
          <w:lang w:val="da-DK"/>
        </w:rPr>
      </w:pPr>
      <w:r>
        <w:rPr>
          <w:snapToGrid w:val="0"/>
          <w:u w:val="single"/>
          <w:lang w:val="da-DK"/>
        </w:rPr>
        <w:t>Uåbnet h</w:t>
      </w:r>
      <w:r w:rsidR="00473235" w:rsidRPr="001278B6">
        <w:rPr>
          <w:snapToGrid w:val="0"/>
          <w:u w:val="single"/>
          <w:lang w:val="da-DK"/>
        </w:rPr>
        <w:t>ætteglas</w:t>
      </w:r>
    </w:p>
    <w:p w14:paraId="10DBC279" w14:textId="77777777" w:rsidR="003563EF" w:rsidRPr="001278B6" w:rsidRDefault="003563EF" w:rsidP="001278B6">
      <w:pPr>
        <w:pStyle w:val="a3"/>
        <w:keepNext/>
        <w:keepLines/>
        <w:widowControl/>
        <w:adjustRightInd w:val="0"/>
        <w:snapToGrid w:val="0"/>
        <w:rPr>
          <w:snapToGrid w:val="0"/>
          <w:lang w:val="da-DK"/>
        </w:rPr>
      </w:pPr>
    </w:p>
    <w:p w14:paraId="59C0617D" w14:textId="151BF4C1" w:rsidR="003563EF" w:rsidRDefault="008671AE" w:rsidP="001278B6">
      <w:pPr>
        <w:pStyle w:val="a3"/>
        <w:widowControl/>
        <w:adjustRightInd w:val="0"/>
        <w:snapToGrid w:val="0"/>
        <w:rPr>
          <w:snapToGrid w:val="0"/>
          <w:lang w:val="da-DK"/>
        </w:rPr>
      </w:pPr>
      <w:r>
        <w:rPr>
          <w:rFonts w:eastAsia="맑은 고딕" w:hint="eastAsia"/>
          <w:snapToGrid w:val="0"/>
          <w:lang w:val="da-DK" w:eastAsia="ko-KR"/>
        </w:rPr>
        <w:t>4</w:t>
      </w:r>
      <w:r w:rsidR="001B4F1A">
        <w:rPr>
          <w:snapToGrid w:val="0"/>
          <w:lang w:val="da-DK"/>
        </w:rPr>
        <w:t> </w:t>
      </w:r>
      <w:r w:rsidR="00473235" w:rsidRPr="001278B6">
        <w:rPr>
          <w:snapToGrid w:val="0"/>
          <w:lang w:val="da-DK"/>
        </w:rPr>
        <w:t>år</w:t>
      </w:r>
      <w:r w:rsidR="00B25D9F">
        <w:rPr>
          <w:snapToGrid w:val="0"/>
          <w:lang w:val="da-DK"/>
        </w:rPr>
        <w:t xml:space="preserve"> (100</w:t>
      </w:r>
      <w:r w:rsidR="00723350">
        <w:rPr>
          <w:snapToGrid w:val="0"/>
          <w:lang w:val="da-DK"/>
        </w:rPr>
        <w:t> </w:t>
      </w:r>
      <w:r w:rsidR="00B25D9F">
        <w:rPr>
          <w:snapToGrid w:val="0"/>
          <w:lang w:val="da-DK"/>
        </w:rPr>
        <w:t>mg</w:t>
      </w:r>
      <w:r w:rsidR="00D33D67">
        <w:rPr>
          <w:snapToGrid w:val="0"/>
          <w:lang w:val="da-DK"/>
        </w:rPr>
        <w:t> </w:t>
      </w:r>
      <w:r w:rsidR="00B25D9F">
        <w:rPr>
          <w:snapToGrid w:val="0"/>
          <w:lang w:val="da-DK"/>
        </w:rPr>
        <w:t>/</w:t>
      </w:r>
      <w:r w:rsidR="00D33D67">
        <w:rPr>
          <w:snapToGrid w:val="0"/>
          <w:lang w:val="da-DK"/>
        </w:rPr>
        <w:t> </w:t>
      </w:r>
      <w:r w:rsidR="00B25D9F">
        <w:rPr>
          <w:snapToGrid w:val="0"/>
          <w:lang w:val="da-DK"/>
        </w:rPr>
        <w:t>4</w:t>
      </w:r>
      <w:r w:rsidR="00723350">
        <w:rPr>
          <w:snapToGrid w:val="0"/>
          <w:lang w:val="da-DK"/>
        </w:rPr>
        <w:t> </w:t>
      </w:r>
      <w:r w:rsidR="00B25D9F">
        <w:rPr>
          <w:snapToGrid w:val="0"/>
          <w:lang w:val="da-DK"/>
        </w:rPr>
        <w:t>ml)</w:t>
      </w:r>
      <w:r w:rsidR="00473235" w:rsidRPr="001278B6">
        <w:rPr>
          <w:snapToGrid w:val="0"/>
          <w:lang w:val="da-DK"/>
        </w:rPr>
        <w:t>.</w:t>
      </w:r>
    </w:p>
    <w:p w14:paraId="4468E7D4" w14:textId="77777777" w:rsidR="00B25D9F" w:rsidRPr="001278B6" w:rsidRDefault="00B25D9F" w:rsidP="001278B6">
      <w:pPr>
        <w:pStyle w:val="a3"/>
        <w:widowControl/>
        <w:adjustRightInd w:val="0"/>
        <w:snapToGrid w:val="0"/>
        <w:rPr>
          <w:snapToGrid w:val="0"/>
          <w:lang w:val="da-DK"/>
        </w:rPr>
      </w:pPr>
      <w:r>
        <w:rPr>
          <w:snapToGrid w:val="0"/>
          <w:lang w:val="da-DK"/>
        </w:rPr>
        <w:t>4</w:t>
      </w:r>
      <w:r w:rsidR="00723350">
        <w:rPr>
          <w:snapToGrid w:val="0"/>
          <w:lang w:val="da-DK"/>
        </w:rPr>
        <w:t> </w:t>
      </w:r>
      <w:r>
        <w:rPr>
          <w:snapToGrid w:val="0"/>
          <w:lang w:val="da-DK"/>
        </w:rPr>
        <w:t>år (400</w:t>
      </w:r>
      <w:r w:rsidR="00723350">
        <w:rPr>
          <w:snapToGrid w:val="0"/>
          <w:lang w:val="da-DK"/>
        </w:rPr>
        <w:t> </w:t>
      </w:r>
      <w:r>
        <w:rPr>
          <w:snapToGrid w:val="0"/>
          <w:lang w:val="da-DK"/>
        </w:rPr>
        <w:t>mg</w:t>
      </w:r>
      <w:r w:rsidR="00D33D67">
        <w:rPr>
          <w:snapToGrid w:val="0"/>
          <w:lang w:val="da-DK"/>
        </w:rPr>
        <w:t> </w:t>
      </w:r>
      <w:r>
        <w:rPr>
          <w:snapToGrid w:val="0"/>
          <w:lang w:val="da-DK"/>
        </w:rPr>
        <w:t>/</w:t>
      </w:r>
      <w:r w:rsidR="00D33D67">
        <w:rPr>
          <w:snapToGrid w:val="0"/>
          <w:lang w:val="da-DK"/>
        </w:rPr>
        <w:t> </w:t>
      </w:r>
      <w:r>
        <w:rPr>
          <w:snapToGrid w:val="0"/>
          <w:lang w:val="da-DK"/>
        </w:rPr>
        <w:t>16</w:t>
      </w:r>
      <w:r w:rsidR="00723350">
        <w:rPr>
          <w:snapToGrid w:val="0"/>
          <w:lang w:val="da-DK"/>
        </w:rPr>
        <w:t> </w:t>
      </w:r>
      <w:r>
        <w:rPr>
          <w:snapToGrid w:val="0"/>
          <w:lang w:val="da-DK"/>
        </w:rPr>
        <w:t>ml).</w:t>
      </w:r>
    </w:p>
    <w:p w14:paraId="07928DAE" w14:textId="77777777" w:rsidR="003563EF" w:rsidRPr="001278B6" w:rsidRDefault="003563EF" w:rsidP="001278B6">
      <w:pPr>
        <w:pStyle w:val="a3"/>
        <w:widowControl/>
        <w:adjustRightInd w:val="0"/>
        <w:snapToGrid w:val="0"/>
        <w:rPr>
          <w:snapToGrid w:val="0"/>
          <w:lang w:val="da-DK"/>
        </w:rPr>
      </w:pPr>
    </w:p>
    <w:p w14:paraId="1C5201A3" w14:textId="77777777" w:rsidR="003563EF" w:rsidRPr="001278B6" w:rsidRDefault="00473235" w:rsidP="001278B6">
      <w:pPr>
        <w:pStyle w:val="a3"/>
        <w:keepNext/>
        <w:keepLines/>
        <w:widowControl/>
        <w:adjustRightInd w:val="0"/>
        <w:snapToGrid w:val="0"/>
        <w:rPr>
          <w:snapToGrid w:val="0"/>
          <w:lang w:val="da-DK"/>
        </w:rPr>
      </w:pPr>
      <w:r w:rsidRPr="001278B6">
        <w:rPr>
          <w:snapToGrid w:val="0"/>
          <w:u w:val="single"/>
          <w:lang w:val="da-DK"/>
        </w:rPr>
        <w:t>Fortyndet lægemiddel</w:t>
      </w:r>
    </w:p>
    <w:p w14:paraId="11159140" w14:textId="77777777" w:rsidR="003563EF" w:rsidRPr="001278B6" w:rsidRDefault="003563EF" w:rsidP="001278B6">
      <w:pPr>
        <w:pStyle w:val="a3"/>
        <w:keepNext/>
        <w:keepLines/>
        <w:widowControl/>
        <w:adjustRightInd w:val="0"/>
        <w:snapToGrid w:val="0"/>
        <w:rPr>
          <w:snapToGrid w:val="0"/>
          <w:lang w:val="da-DK"/>
        </w:rPr>
      </w:pPr>
    </w:p>
    <w:p w14:paraId="0371FF39"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dokumenteret kemisk og fysisk holdbarhed før anvendelsen i </w:t>
      </w:r>
      <w:r w:rsidR="00F54C92">
        <w:rPr>
          <w:snapToGrid w:val="0"/>
          <w:lang w:val="da-DK"/>
        </w:rPr>
        <w:t>en periode på op til 6</w:t>
      </w:r>
      <w:r w:rsidRPr="001278B6">
        <w:rPr>
          <w:snapToGrid w:val="0"/>
          <w:lang w:val="da-DK"/>
        </w:rPr>
        <w:t>0 dage ved 2 ºC til 8 ºC</w:t>
      </w:r>
      <w:r w:rsidR="00F54C92">
        <w:rPr>
          <w:snapToGrid w:val="0"/>
          <w:lang w:val="da-DK"/>
        </w:rPr>
        <w:t xml:space="preserve"> efter fortynding og i en periode på op til 7 dage ved</w:t>
      </w:r>
      <w:r w:rsidR="00ED7D08">
        <w:rPr>
          <w:snapToGrid w:val="0"/>
          <w:lang w:val="da-DK"/>
        </w:rPr>
        <w:t xml:space="preserve"> </w:t>
      </w:r>
      <w:r w:rsidR="00F54C92">
        <w:rPr>
          <w:snapToGrid w:val="0"/>
          <w:lang w:val="da-DK"/>
        </w:rPr>
        <w:t>temperaturer</w:t>
      </w:r>
      <w:r w:rsidRPr="001278B6">
        <w:rPr>
          <w:snapToGrid w:val="0"/>
          <w:lang w:val="da-DK"/>
        </w:rPr>
        <w:t>,</w:t>
      </w:r>
      <w:r w:rsidR="00F54C92">
        <w:rPr>
          <w:snapToGrid w:val="0"/>
          <w:lang w:val="da-DK"/>
        </w:rPr>
        <w:t xml:space="preserve"> der ikke overstiger</w:t>
      </w:r>
      <w:r w:rsidRPr="001278B6">
        <w:rPr>
          <w:snapToGrid w:val="0"/>
          <w:lang w:val="da-DK"/>
        </w:rPr>
        <w:t xml:space="preserve"> 30 ºC, i natriumchlorid 9</w:t>
      </w:r>
      <w:r w:rsidR="00D019B9">
        <w:rPr>
          <w:snapToGrid w:val="0"/>
          <w:lang w:val="da-DK"/>
        </w:rPr>
        <w:t> mg</w:t>
      </w:r>
      <w:r w:rsidRPr="001278B6">
        <w:rPr>
          <w:snapToGrid w:val="0"/>
          <w:lang w:val="da-DK"/>
        </w:rPr>
        <w:t>/ml (0,9 %) opløsning til injektion. Fra et mikrobiologisk synspunkt skal præparatet anvendes øjeblikkelig. Hvis det ikke anvendes øjeblikkelig, er holdbarheden under anvendelse og opbevaringsbetingelserne før anvendelsen brugerens ansvar, og de er normalt ikke længere end 24 timer ved 2 ºC – 8 ºC, medmindre opløsningen har fundet sted under kontrollerede og validerede aseptiske omstændigheder.</w:t>
      </w:r>
    </w:p>
    <w:p w14:paraId="4758DF4F" w14:textId="77777777" w:rsidR="003563EF" w:rsidRPr="001278B6" w:rsidRDefault="003563EF" w:rsidP="001278B6">
      <w:pPr>
        <w:pStyle w:val="a3"/>
        <w:widowControl/>
        <w:adjustRightInd w:val="0"/>
        <w:snapToGrid w:val="0"/>
        <w:rPr>
          <w:snapToGrid w:val="0"/>
          <w:lang w:val="da-DK"/>
        </w:rPr>
      </w:pPr>
    </w:p>
    <w:p w14:paraId="377BBCFB"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t>Særlige opbevaringsforhold</w:t>
      </w:r>
    </w:p>
    <w:p w14:paraId="210DB683" w14:textId="77777777" w:rsidR="003563EF" w:rsidRPr="001278B6" w:rsidRDefault="003563EF" w:rsidP="001278B6">
      <w:pPr>
        <w:pStyle w:val="a3"/>
        <w:keepLines/>
        <w:widowControl/>
        <w:adjustRightInd w:val="0"/>
        <w:snapToGrid w:val="0"/>
        <w:rPr>
          <w:b/>
          <w:snapToGrid w:val="0"/>
          <w:lang w:val="da-DK"/>
        </w:rPr>
      </w:pPr>
    </w:p>
    <w:p w14:paraId="222906D9" w14:textId="1DBD6D72" w:rsidR="003563EF" w:rsidRPr="001278B6" w:rsidRDefault="00473235" w:rsidP="001278B6">
      <w:pPr>
        <w:pStyle w:val="a3"/>
        <w:widowControl/>
        <w:adjustRightInd w:val="0"/>
        <w:snapToGrid w:val="0"/>
        <w:rPr>
          <w:snapToGrid w:val="0"/>
          <w:lang w:val="da-DK"/>
        </w:rPr>
      </w:pPr>
      <w:r w:rsidRPr="001278B6">
        <w:rPr>
          <w:snapToGrid w:val="0"/>
          <w:lang w:val="da-DK"/>
        </w:rPr>
        <w:t>Opbevares i køleskab (2 ºC – 8 ºC). Må ikke nedfryses.</w:t>
      </w:r>
    </w:p>
    <w:p w14:paraId="1AF868DC" w14:textId="77777777" w:rsidR="009C4C8E" w:rsidRDefault="00473235" w:rsidP="006D0605">
      <w:pPr>
        <w:pStyle w:val="a3"/>
        <w:widowControl/>
        <w:adjustRightInd w:val="0"/>
        <w:snapToGrid w:val="0"/>
        <w:rPr>
          <w:snapToGrid w:val="0"/>
          <w:lang w:val="da-DK"/>
        </w:rPr>
      </w:pPr>
      <w:r w:rsidRPr="001278B6">
        <w:rPr>
          <w:snapToGrid w:val="0"/>
          <w:lang w:val="da-DK"/>
        </w:rPr>
        <w:t xml:space="preserve">Opbevar hætteglas i den ydre karton for at beskytte mod lys. </w:t>
      </w:r>
    </w:p>
    <w:p w14:paraId="46DB71F9" w14:textId="77777777" w:rsidR="009C4C8E" w:rsidRDefault="009C4C8E" w:rsidP="006D0605">
      <w:pPr>
        <w:pStyle w:val="a3"/>
        <w:widowControl/>
        <w:adjustRightInd w:val="0"/>
        <w:snapToGrid w:val="0"/>
        <w:rPr>
          <w:snapToGrid w:val="0"/>
          <w:lang w:val="da-DK"/>
        </w:rPr>
      </w:pPr>
    </w:p>
    <w:p w14:paraId="6BB0442E" w14:textId="77777777" w:rsidR="003563EF" w:rsidRDefault="00473235" w:rsidP="006D0605">
      <w:pPr>
        <w:pStyle w:val="a3"/>
        <w:widowControl/>
        <w:adjustRightInd w:val="0"/>
        <w:snapToGrid w:val="0"/>
        <w:rPr>
          <w:snapToGrid w:val="0"/>
          <w:lang w:val="da-DK"/>
        </w:rPr>
      </w:pPr>
      <w:r w:rsidRPr="001278B6">
        <w:rPr>
          <w:snapToGrid w:val="0"/>
          <w:lang w:val="da-DK"/>
        </w:rPr>
        <w:t>Opbevaringsforhold efter fortynding af lægemidlet, se pkt. 6.3.</w:t>
      </w:r>
    </w:p>
    <w:p w14:paraId="64349A09" w14:textId="77777777" w:rsidR="000E2F2D" w:rsidRPr="001278B6" w:rsidRDefault="000E2F2D" w:rsidP="001278B6">
      <w:pPr>
        <w:pStyle w:val="a3"/>
        <w:widowControl/>
        <w:adjustRightInd w:val="0"/>
        <w:snapToGrid w:val="0"/>
        <w:rPr>
          <w:snapToGrid w:val="0"/>
          <w:lang w:val="da-DK"/>
        </w:rPr>
      </w:pPr>
    </w:p>
    <w:p w14:paraId="510638E4"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t>Emballagetype og pakningsstørrelser</w:t>
      </w:r>
    </w:p>
    <w:p w14:paraId="76C152B3" w14:textId="77777777" w:rsidR="003563EF" w:rsidRPr="001278B6" w:rsidRDefault="003563EF" w:rsidP="001278B6">
      <w:pPr>
        <w:pStyle w:val="a3"/>
        <w:keepNext/>
        <w:keepLines/>
        <w:widowControl/>
        <w:adjustRightInd w:val="0"/>
        <w:snapToGrid w:val="0"/>
        <w:rPr>
          <w:bCs/>
          <w:snapToGrid w:val="0"/>
          <w:lang w:val="da-DK"/>
        </w:rPr>
      </w:pPr>
    </w:p>
    <w:p w14:paraId="718E8EFE" w14:textId="77777777" w:rsidR="00D33D67" w:rsidRDefault="00473235" w:rsidP="001278B6">
      <w:pPr>
        <w:pStyle w:val="a3"/>
        <w:widowControl/>
        <w:adjustRightInd w:val="0"/>
        <w:snapToGrid w:val="0"/>
        <w:rPr>
          <w:snapToGrid w:val="0"/>
          <w:lang w:val="da-DK"/>
        </w:rPr>
      </w:pPr>
      <w:r w:rsidRPr="001278B6">
        <w:rPr>
          <w:snapToGrid w:val="0"/>
          <w:lang w:val="da-DK"/>
        </w:rPr>
        <w:t>4</w:t>
      </w:r>
      <w:r w:rsidR="00D019B9">
        <w:rPr>
          <w:snapToGrid w:val="0"/>
          <w:lang w:val="da-DK"/>
        </w:rPr>
        <w:t> ml</w:t>
      </w:r>
      <w:r w:rsidRPr="001278B6">
        <w:rPr>
          <w:snapToGrid w:val="0"/>
          <w:lang w:val="da-DK"/>
        </w:rPr>
        <w:t xml:space="preserve"> opløsning i et hætteglas (type I glas) med </w:t>
      </w:r>
      <w:r w:rsidR="00F54C92">
        <w:rPr>
          <w:snapToGrid w:val="0"/>
          <w:lang w:val="da-DK"/>
        </w:rPr>
        <w:t>klor</w:t>
      </w:r>
      <w:r w:rsidRPr="001278B6">
        <w:rPr>
          <w:snapToGrid w:val="0"/>
          <w:lang w:val="da-DK"/>
        </w:rPr>
        <w:t>butylgummiprop indeholdende 100</w:t>
      </w:r>
      <w:r w:rsidR="00D019B9">
        <w:rPr>
          <w:snapToGrid w:val="0"/>
          <w:lang w:val="da-DK"/>
        </w:rPr>
        <w:t> mg</w:t>
      </w:r>
      <w:r w:rsidRPr="001278B6">
        <w:rPr>
          <w:snapToGrid w:val="0"/>
          <w:lang w:val="da-DK"/>
        </w:rPr>
        <w:t xml:space="preserve"> bevacizumab. </w:t>
      </w:r>
    </w:p>
    <w:p w14:paraId="0CD3AB00" w14:textId="77777777" w:rsidR="00E41757" w:rsidRDefault="00E41757" w:rsidP="00E41757">
      <w:pPr>
        <w:pStyle w:val="a3"/>
        <w:widowControl/>
        <w:adjustRightInd w:val="0"/>
        <w:snapToGrid w:val="0"/>
        <w:rPr>
          <w:snapToGrid w:val="0"/>
          <w:lang w:val="da-DK"/>
        </w:rPr>
      </w:pPr>
      <w:r w:rsidRPr="001278B6">
        <w:rPr>
          <w:snapToGrid w:val="0"/>
          <w:lang w:val="da-DK"/>
        </w:rPr>
        <w:t>Pakning</w:t>
      </w:r>
      <w:r>
        <w:rPr>
          <w:snapToGrid w:val="0"/>
          <w:lang w:val="da-DK"/>
        </w:rPr>
        <w:t>sstørrelser</w:t>
      </w:r>
      <w:r w:rsidRPr="001278B6">
        <w:rPr>
          <w:snapToGrid w:val="0"/>
          <w:lang w:val="da-DK"/>
        </w:rPr>
        <w:t xml:space="preserve"> med 1</w:t>
      </w:r>
      <w:r>
        <w:rPr>
          <w:snapToGrid w:val="0"/>
          <w:lang w:val="da-DK"/>
        </w:rPr>
        <w:t xml:space="preserve"> og 10</w:t>
      </w:r>
      <w:r w:rsidRPr="001278B6">
        <w:rPr>
          <w:snapToGrid w:val="0"/>
          <w:lang w:val="da-DK"/>
        </w:rPr>
        <w:t xml:space="preserve"> hætteglas.</w:t>
      </w:r>
    </w:p>
    <w:p w14:paraId="35578364" w14:textId="77777777" w:rsidR="00E41757" w:rsidRDefault="00E41757" w:rsidP="001278B6">
      <w:pPr>
        <w:pStyle w:val="a3"/>
        <w:widowControl/>
        <w:adjustRightInd w:val="0"/>
        <w:snapToGrid w:val="0"/>
        <w:rPr>
          <w:rFonts w:eastAsia="맑은 고딕"/>
          <w:snapToGrid w:val="0"/>
          <w:lang w:val="da-DK" w:eastAsia="ko-KR"/>
        </w:rPr>
      </w:pPr>
    </w:p>
    <w:p w14:paraId="05108AC2" w14:textId="1BBCCED5" w:rsidR="003563EF" w:rsidRPr="001278B6" w:rsidRDefault="00473235" w:rsidP="001278B6">
      <w:pPr>
        <w:pStyle w:val="a3"/>
        <w:widowControl/>
        <w:adjustRightInd w:val="0"/>
        <w:snapToGrid w:val="0"/>
        <w:rPr>
          <w:snapToGrid w:val="0"/>
          <w:lang w:val="da-DK"/>
        </w:rPr>
      </w:pPr>
      <w:r w:rsidRPr="001278B6">
        <w:rPr>
          <w:snapToGrid w:val="0"/>
          <w:lang w:val="da-DK"/>
        </w:rPr>
        <w:t>16</w:t>
      </w:r>
      <w:r w:rsidR="00D019B9">
        <w:rPr>
          <w:snapToGrid w:val="0"/>
          <w:lang w:val="da-DK"/>
        </w:rPr>
        <w:t> ml</w:t>
      </w:r>
      <w:r w:rsidRPr="001278B6">
        <w:rPr>
          <w:snapToGrid w:val="0"/>
          <w:lang w:val="da-DK"/>
        </w:rPr>
        <w:t xml:space="preserve"> opløsning i et hætteglas (type I glas) med </w:t>
      </w:r>
      <w:r w:rsidR="00F54C92">
        <w:rPr>
          <w:snapToGrid w:val="0"/>
          <w:lang w:val="da-DK"/>
        </w:rPr>
        <w:t>klor</w:t>
      </w:r>
      <w:r w:rsidRPr="001278B6">
        <w:rPr>
          <w:snapToGrid w:val="0"/>
          <w:lang w:val="da-DK"/>
        </w:rPr>
        <w:t>butylgummiprop indeholdende 400 mg bevacizumab.</w:t>
      </w:r>
    </w:p>
    <w:p w14:paraId="501328FD" w14:textId="68174577" w:rsidR="003563EF" w:rsidRDefault="00473235" w:rsidP="001278B6">
      <w:pPr>
        <w:pStyle w:val="a3"/>
        <w:widowControl/>
        <w:adjustRightInd w:val="0"/>
        <w:snapToGrid w:val="0"/>
        <w:rPr>
          <w:snapToGrid w:val="0"/>
          <w:lang w:val="da-DK"/>
        </w:rPr>
      </w:pPr>
      <w:r w:rsidRPr="001278B6">
        <w:rPr>
          <w:snapToGrid w:val="0"/>
          <w:lang w:val="da-DK"/>
        </w:rPr>
        <w:t>Pakning</w:t>
      </w:r>
      <w:r w:rsidR="00D07625">
        <w:rPr>
          <w:snapToGrid w:val="0"/>
          <w:lang w:val="da-DK"/>
        </w:rPr>
        <w:t>sstørrelser</w:t>
      </w:r>
      <w:r w:rsidRPr="001278B6">
        <w:rPr>
          <w:snapToGrid w:val="0"/>
          <w:lang w:val="da-DK"/>
        </w:rPr>
        <w:t xml:space="preserve"> med 1</w:t>
      </w:r>
      <w:r w:rsidR="00E41757">
        <w:rPr>
          <w:rFonts w:eastAsia="맑은 고딕" w:hint="eastAsia"/>
          <w:snapToGrid w:val="0"/>
          <w:lang w:val="da-DK" w:eastAsia="ko-KR"/>
        </w:rPr>
        <w:t>, 2</w:t>
      </w:r>
      <w:r w:rsidR="00F54C92">
        <w:rPr>
          <w:snapToGrid w:val="0"/>
          <w:lang w:val="da-DK"/>
        </w:rPr>
        <w:t xml:space="preserve"> og 10</w:t>
      </w:r>
      <w:r w:rsidRPr="001278B6">
        <w:rPr>
          <w:snapToGrid w:val="0"/>
          <w:lang w:val="da-DK"/>
        </w:rPr>
        <w:t xml:space="preserve"> hætteglas.</w:t>
      </w:r>
    </w:p>
    <w:p w14:paraId="48ECC17A" w14:textId="77777777" w:rsidR="00E41757" w:rsidRDefault="00E41757" w:rsidP="001278B6">
      <w:pPr>
        <w:pStyle w:val="a3"/>
        <w:widowControl/>
        <w:adjustRightInd w:val="0"/>
        <w:snapToGrid w:val="0"/>
        <w:rPr>
          <w:rFonts w:eastAsia="맑은 고딕"/>
          <w:lang w:val="da-DK" w:eastAsia="ko-KR"/>
        </w:rPr>
      </w:pPr>
    </w:p>
    <w:p w14:paraId="0A184ADB" w14:textId="26EF646F" w:rsidR="00F54C92" w:rsidRPr="001278B6" w:rsidRDefault="00D07625" w:rsidP="001278B6">
      <w:pPr>
        <w:pStyle w:val="a3"/>
        <w:widowControl/>
        <w:adjustRightInd w:val="0"/>
        <w:snapToGrid w:val="0"/>
        <w:rPr>
          <w:snapToGrid w:val="0"/>
          <w:lang w:val="da-DK"/>
        </w:rPr>
      </w:pPr>
      <w:r>
        <w:rPr>
          <w:lang w:val="da-DK"/>
        </w:rPr>
        <w:t>Ikke alle pakningsstørrelser er nødvendigvis markedsført</w:t>
      </w:r>
      <w:r w:rsidR="00ED7D08">
        <w:rPr>
          <w:lang w:val="da-DK"/>
        </w:rPr>
        <w:t>.</w:t>
      </w:r>
    </w:p>
    <w:p w14:paraId="60FC57F9" w14:textId="77777777" w:rsidR="003563EF" w:rsidRPr="001278B6" w:rsidRDefault="003563EF" w:rsidP="001278B6">
      <w:pPr>
        <w:pStyle w:val="a3"/>
        <w:widowControl/>
        <w:adjustRightInd w:val="0"/>
        <w:snapToGrid w:val="0"/>
        <w:rPr>
          <w:snapToGrid w:val="0"/>
          <w:lang w:val="da-DK"/>
        </w:rPr>
      </w:pPr>
    </w:p>
    <w:p w14:paraId="4BC7CFEF" w14:textId="77777777" w:rsidR="003563EF" w:rsidRPr="001278B6" w:rsidRDefault="00473235" w:rsidP="001278B6">
      <w:pPr>
        <w:pStyle w:val="2"/>
        <w:keepNext/>
        <w:keepLines/>
        <w:widowControl/>
        <w:numPr>
          <w:ilvl w:val="1"/>
          <w:numId w:val="8"/>
        </w:numPr>
        <w:adjustRightInd w:val="0"/>
        <w:snapToGrid w:val="0"/>
        <w:ind w:left="0" w:firstLine="0"/>
        <w:rPr>
          <w:snapToGrid w:val="0"/>
          <w:lang w:val="da-DK"/>
        </w:rPr>
      </w:pPr>
      <w:r w:rsidRPr="001278B6">
        <w:rPr>
          <w:snapToGrid w:val="0"/>
          <w:lang w:val="da-DK"/>
        </w:rPr>
        <w:t>Regler for bortskaffelse og anden håndtering</w:t>
      </w:r>
    </w:p>
    <w:p w14:paraId="4B80F3EB" w14:textId="77777777" w:rsidR="003563EF" w:rsidRPr="001278B6" w:rsidRDefault="003563EF" w:rsidP="001278B6">
      <w:pPr>
        <w:pStyle w:val="a3"/>
        <w:widowControl/>
        <w:adjustRightInd w:val="0"/>
        <w:snapToGrid w:val="0"/>
        <w:rPr>
          <w:snapToGrid w:val="0"/>
          <w:lang w:val="da-DK"/>
        </w:rPr>
      </w:pPr>
    </w:p>
    <w:p w14:paraId="2D1A4E05" w14:textId="77777777" w:rsidR="003563EF" w:rsidRPr="001278B6" w:rsidRDefault="003563EF" w:rsidP="001278B6">
      <w:pPr>
        <w:pStyle w:val="a3"/>
        <w:widowControl/>
        <w:adjustRightInd w:val="0"/>
        <w:snapToGrid w:val="0"/>
        <w:rPr>
          <w:snapToGrid w:val="0"/>
          <w:lang w:val="da-DK"/>
        </w:rPr>
      </w:pPr>
    </w:p>
    <w:p w14:paraId="652FF2E0" w14:textId="113386FB" w:rsidR="003563EF" w:rsidRPr="001278B6" w:rsidRDefault="00295FBB" w:rsidP="001278B6">
      <w:pPr>
        <w:pStyle w:val="a3"/>
        <w:widowControl/>
        <w:adjustRightInd w:val="0"/>
        <w:snapToGrid w:val="0"/>
        <w:rPr>
          <w:snapToGrid w:val="0"/>
          <w:lang w:val="da-DK"/>
        </w:rPr>
      </w:pPr>
      <w:r>
        <w:rPr>
          <w:rFonts w:eastAsia="맑은 고딕"/>
          <w:color w:val="000000"/>
          <w:lang w:val="da-DK" w:eastAsia="ko-KR"/>
        </w:rPr>
        <w:t>Vegzelma</w:t>
      </w:r>
      <w:r w:rsidR="00473235" w:rsidRPr="001278B6">
        <w:rPr>
          <w:snapToGrid w:val="0"/>
          <w:lang w:val="da-DK"/>
        </w:rPr>
        <w:t xml:space="preserve"> bør fremstilles af en sundhedsfaglig person under anvendelse af aseptisk teknik for at sikre steriliteten af den fremstillede opløsning. En steril nål og sprøjte skal anvendes til at klargøre </w:t>
      </w:r>
      <w:r>
        <w:rPr>
          <w:rFonts w:eastAsia="맑은 고딕"/>
          <w:color w:val="000000"/>
          <w:lang w:val="da-DK" w:eastAsia="ko-KR"/>
        </w:rPr>
        <w:t>Vegzelma</w:t>
      </w:r>
      <w:r w:rsidR="00473235" w:rsidRPr="001278B6">
        <w:rPr>
          <w:snapToGrid w:val="0"/>
          <w:lang w:val="da-DK"/>
        </w:rPr>
        <w:t>.</w:t>
      </w:r>
    </w:p>
    <w:p w14:paraId="7B856C24" w14:textId="77777777" w:rsidR="003563EF" w:rsidRPr="001278B6" w:rsidRDefault="003563EF" w:rsidP="001278B6">
      <w:pPr>
        <w:pStyle w:val="a3"/>
        <w:widowControl/>
        <w:adjustRightInd w:val="0"/>
        <w:snapToGrid w:val="0"/>
        <w:rPr>
          <w:snapToGrid w:val="0"/>
          <w:lang w:val="da-DK"/>
        </w:rPr>
      </w:pPr>
    </w:p>
    <w:p w14:paraId="48928914" w14:textId="77777777" w:rsidR="003563EF" w:rsidRPr="001278B6" w:rsidRDefault="00473235" w:rsidP="001278B6">
      <w:pPr>
        <w:pStyle w:val="a3"/>
        <w:widowControl/>
        <w:adjustRightInd w:val="0"/>
        <w:snapToGrid w:val="0"/>
        <w:rPr>
          <w:snapToGrid w:val="0"/>
          <w:lang w:val="da-DK"/>
        </w:rPr>
      </w:pPr>
      <w:r w:rsidRPr="001278B6">
        <w:rPr>
          <w:snapToGrid w:val="0"/>
          <w:lang w:val="da-DK"/>
        </w:rPr>
        <w:t>Den nødvendige mængde bevacizumab skal udtages og fortyndes til det ønskede administrationsvolumen med natriumchlorid 9</w:t>
      </w:r>
      <w:r w:rsidR="00D019B9">
        <w:rPr>
          <w:snapToGrid w:val="0"/>
          <w:lang w:val="da-DK"/>
        </w:rPr>
        <w:t> mg</w:t>
      </w:r>
      <w:r w:rsidRPr="001278B6">
        <w:rPr>
          <w:snapToGrid w:val="0"/>
          <w:lang w:val="da-DK"/>
        </w:rPr>
        <w:t>/ml (0,9 %) opløsning til injektion. Koncentrationen af den endelige bevacizumab</w:t>
      </w:r>
      <w:r w:rsidR="004B3750">
        <w:rPr>
          <w:snapToGrid w:val="0"/>
          <w:lang w:val="da-DK"/>
        </w:rPr>
        <w:noBreakHyphen/>
      </w:r>
      <w:r w:rsidRPr="001278B6">
        <w:rPr>
          <w:snapToGrid w:val="0"/>
          <w:lang w:val="da-DK"/>
        </w:rPr>
        <w:t>opløsning skal ligge inden for følgende grænser: 1,4</w:t>
      </w:r>
      <w:r w:rsidR="004C60BE">
        <w:rPr>
          <w:snapToGrid w:val="0"/>
          <w:lang w:val="da-DK"/>
        </w:rPr>
        <w:t> mg</w:t>
      </w:r>
      <w:r w:rsidRPr="001278B6">
        <w:rPr>
          <w:snapToGrid w:val="0"/>
          <w:lang w:val="da-DK"/>
        </w:rPr>
        <w:t>/ml</w:t>
      </w:r>
      <w:r w:rsidR="004B3750">
        <w:rPr>
          <w:snapToGrid w:val="0"/>
          <w:lang w:val="da-DK"/>
        </w:rPr>
        <w:noBreakHyphen/>
      </w:r>
      <w:r w:rsidRPr="001278B6">
        <w:rPr>
          <w:snapToGrid w:val="0"/>
          <w:lang w:val="da-DK"/>
        </w:rPr>
        <w:t>16,5</w:t>
      </w:r>
      <w:r w:rsidR="00D019B9">
        <w:rPr>
          <w:snapToGrid w:val="0"/>
          <w:lang w:val="da-DK"/>
        </w:rPr>
        <w:t> mg</w:t>
      </w:r>
      <w:r w:rsidRPr="001278B6">
        <w:rPr>
          <w:snapToGrid w:val="0"/>
          <w:lang w:val="da-DK"/>
        </w:rPr>
        <w:t>/ml.</w:t>
      </w:r>
    </w:p>
    <w:p w14:paraId="38A1A29A" w14:textId="00CDFDB0" w:rsidR="003563EF" w:rsidRPr="001278B6" w:rsidRDefault="00473235">
      <w:pPr>
        <w:pStyle w:val="a3"/>
        <w:widowControl/>
        <w:adjustRightInd w:val="0"/>
        <w:snapToGrid w:val="0"/>
        <w:rPr>
          <w:snapToGrid w:val="0"/>
          <w:lang w:val="da-DK"/>
        </w:rPr>
      </w:pPr>
      <w:r w:rsidRPr="001278B6">
        <w:rPr>
          <w:snapToGrid w:val="0"/>
          <w:lang w:val="da-DK"/>
        </w:rPr>
        <w:t xml:space="preserve">I fleste tilfælde kan den nødvendige mængde </w:t>
      </w:r>
      <w:r w:rsidR="00295FBB">
        <w:rPr>
          <w:rFonts w:eastAsia="맑은 고딕"/>
          <w:color w:val="000000"/>
          <w:lang w:val="da-DK" w:eastAsia="ko-KR"/>
        </w:rPr>
        <w:t>Vegzelma</w:t>
      </w:r>
      <w:r w:rsidRPr="001278B6">
        <w:rPr>
          <w:snapToGrid w:val="0"/>
          <w:lang w:val="da-DK"/>
        </w:rPr>
        <w:t xml:space="preserve"> blive fortyndet med 0,9 % natriumchlorid opløsning til injektion op til 100</w:t>
      </w:r>
      <w:r w:rsidR="00B05CE0">
        <w:rPr>
          <w:snapToGrid w:val="0"/>
          <w:lang w:val="da-DK"/>
        </w:rPr>
        <w:t> m</w:t>
      </w:r>
      <w:r w:rsidR="003E1105">
        <w:rPr>
          <w:snapToGrid w:val="0"/>
          <w:lang w:val="da-DK"/>
        </w:rPr>
        <w:t>l</w:t>
      </w:r>
      <w:r w:rsidRPr="001278B6">
        <w:rPr>
          <w:snapToGrid w:val="0"/>
          <w:lang w:val="da-DK"/>
        </w:rPr>
        <w:t xml:space="preserve"> (total volume).</w:t>
      </w:r>
    </w:p>
    <w:p w14:paraId="2BE7BBB9" w14:textId="77777777" w:rsidR="003563EF" w:rsidRPr="001278B6" w:rsidRDefault="003563EF" w:rsidP="001278B6">
      <w:pPr>
        <w:pStyle w:val="a3"/>
        <w:widowControl/>
        <w:adjustRightInd w:val="0"/>
        <w:snapToGrid w:val="0"/>
        <w:rPr>
          <w:snapToGrid w:val="0"/>
          <w:lang w:val="da-DK"/>
        </w:rPr>
      </w:pPr>
    </w:p>
    <w:p w14:paraId="74197083" w14:textId="77777777" w:rsidR="003563EF" w:rsidRPr="001278B6" w:rsidRDefault="00473235" w:rsidP="001278B6">
      <w:pPr>
        <w:pStyle w:val="a3"/>
        <w:widowControl/>
        <w:adjustRightInd w:val="0"/>
        <w:snapToGrid w:val="0"/>
        <w:rPr>
          <w:snapToGrid w:val="0"/>
          <w:lang w:val="da-DK"/>
        </w:rPr>
      </w:pPr>
      <w:r w:rsidRPr="001278B6">
        <w:rPr>
          <w:snapToGrid w:val="0"/>
          <w:lang w:val="da-DK"/>
        </w:rPr>
        <w:t>Parenterale lægemidler bør inspiceres visuelt for partikler og misfarvning før anvendelse.</w:t>
      </w:r>
    </w:p>
    <w:p w14:paraId="0EFE364C" w14:textId="77777777" w:rsidR="003563EF" w:rsidRPr="001278B6" w:rsidRDefault="003563EF" w:rsidP="001278B6">
      <w:pPr>
        <w:pStyle w:val="a3"/>
        <w:widowControl/>
        <w:adjustRightInd w:val="0"/>
        <w:snapToGrid w:val="0"/>
        <w:rPr>
          <w:snapToGrid w:val="0"/>
          <w:lang w:val="da-DK"/>
        </w:rPr>
      </w:pPr>
    </w:p>
    <w:p w14:paraId="4975B9E1" w14:textId="798A0CBF"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ikke observeret uforligeligheder mellem </w:t>
      </w:r>
      <w:r w:rsidR="00295FBB">
        <w:rPr>
          <w:rFonts w:eastAsia="맑은 고딕"/>
          <w:color w:val="000000"/>
          <w:lang w:val="da-DK" w:eastAsia="ko-KR"/>
        </w:rPr>
        <w:t>Vegzelma</w:t>
      </w:r>
      <w:r w:rsidRPr="001278B6">
        <w:rPr>
          <w:snapToGrid w:val="0"/>
          <w:lang w:val="da-DK"/>
        </w:rPr>
        <w:t xml:space="preserve"> og</w:t>
      </w:r>
      <w:r w:rsidR="003E5CE2">
        <w:rPr>
          <w:snapToGrid w:val="0"/>
          <w:lang w:val="da-DK"/>
        </w:rPr>
        <w:t xml:space="preserve"> </w:t>
      </w:r>
      <w:r w:rsidRPr="001278B6">
        <w:rPr>
          <w:snapToGrid w:val="0"/>
          <w:lang w:val="da-DK"/>
        </w:rPr>
        <w:t>polyolefinposer.</w:t>
      </w:r>
    </w:p>
    <w:p w14:paraId="4468D663" w14:textId="77777777" w:rsidR="003563EF" w:rsidRPr="001278B6" w:rsidRDefault="003563EF" w:rsidP="001278B6">
      <w:pPr>
        <w:pStyle w:val="a3"/>
        <w:widowControl/>
        <w:adjustRightInd w:val="0"/>
        <w:snapToGrid w:val="0"/>
        <w:rPr>
          <w:snapToGrid w:val="0"/>
          <w:lang w:val="da-DK"/>
        </w:rPr>
      </w:pPr>
    </w:p>
    <w:p w14:paraId="04F57227" w14:textId="4017E3FD" w:rsidR="003563EF" w:rsidRPr="001278B6" w:rsidRDefault="00295FBB" w:rsidP="001278B6">
      <w:pPr>
        <w:pStyle w:val="a3"/>
        <w:widowControl/>
        <w:adjustRightInd w:val="0"/>
        <w:snapToGrid w:val="0"/>
        <w:rPr>
          <w:snapToGrid w:val="0"/>
          <w:lang w:val="da-DK"/>
        </w:rPr>
      </w:pPr>
      <w:r>
        <w:rPr>
          <w:rFonts w:eastAsia="맑은 고딕"/>
          <w:color w:val="000000"/>
          <w:lang w:val="da-DK" w:eastAsia="ko-KR"/>
        </w:rPr>
        <w:t>Vegzelma</w:t>
      </w:r>
      <w:r w:rsidR="00473235" w:rsidRPr="001278B6">
        <w:rPr>
          <w:snapToGrid w:val="0"/>
          <w:lang w:val="da-DK"/>
        </w:rPr>
        <w:t xml:space="preserve"> er udelukkende til engangsbrug, da produktet ikke indeholder konserveringsmidler. Ikke anvendt lægemiddel samt affald heraf skal bortskaffes i henhold til lokale retningslinjer.</w:t>
      </w:r>
    </w:p>
    <w:p w14:paraId="57290201" w14:textId="77777777" w:rsidR="003563EF" w:rsidRPr="001278B6" w:rsidRDefault="003563EF" w:rsidP="001278B6">
      <w:pPr>
        <w:pStyle w:val="a3"/>
        <w:widowControl/>
        <w:adjustRightInd w:val="0"/>
        <w:snapToGrid w:val="0"/>
        <w:rPr>
          <w:snapToGrid w:val="0"/>
          <w:lang w:val="da-DK"/>
        </w:rPr>
      </w:pPr>
    </w:p>
    <w:p w14:paraId="5B3ED746" w14:textId="77777777" w:rsidR="003563EF" w:rsidRPr="001278B6" w:rsidRDefault="003563EF" w:rsidP="001278B6">
      <w:pPr>
        <w:pStyle w:val="a3"/>
        <w:widowControl/>
        <w:adjustRightInd w:val="0"/>
        <w:snapToGrid w:val="0"/>
        <w:rPr>
          <w:snapToGrid w:val="0"/>
          <w:lang w:val="da-DK"/>
        </w:rPr>
      </w:pPr>
    </w:p>
    <w:p w14:paraId="14D57C63" w14:textId="77777777" w:rsidR="003563EF" w:rsidRPr="001278B6" w:rsidRDefault="00473235" w:rsidP="001278B6">
      <w:pPr>
        <w:pStyle w:val="1"/>
        <w:keepNext/>
        <w:keepLines/>
        <w:widowControl/>
        <w:numPr>
          <w:ilvl w:val="0"/>
          <w:numId w:val="8"/>
        </w:numPr>
        <w:adjustRightInd w:val="0"/>
        <w:snapToGrid w:val="0"/>
        <w:ind w:left="562" w:hanging="562"/>
        <w:rPr>
          <w:snapToGrid w:val="0"/>
          <w:lang w:val="da-DK"/>
        </w:rPr>
      </w:pPr>
      <w:r w:rsidRPr="001278B6">
        <w:rPr>
          <w:snapToGrid w:val="0"/>
          <w:lang w:val="da-DK"/>
        </w:rPr>
        <w:lastRenderedPageBreak/>
        <w:t>INDEHAVER AF MARKEDSFØRINGSTILLADELSEN</w:t>
      </w:r>
    </w:p>
    <w:p w14:paraId="5D11A147" w14:textId="77777777" w:rsidR="003563EF" w:rsidRPr="001278B6" w:rsidRDefault="003563EF" w:rsidP="001278B6">
      <w:pPr>
        <w:pStyle w:val="a3"/>
        <w:keepNext/>
        <w:keepLines/>
        <w:widowControl/>
        <w:adjustRightInd w:val="0"/>
        <w:snapToGrid w:val="0"/>
        <w:rPr>
          <w:b/>
          <w:snapToGrid w:val="0"/>
          <w:lang w:val="da-DK"/>
        </w:rPr>
      </w:pPr>
    </w:p>
    <w:p w14:paraId="08650D4B" w14:textId="77777777" w:rsidR="00D07625" w:rsidRPr="00C16207" w:rsidRDefault="00D07625" w:rsidP="00D07625">
      <w:pPr>
        <w:pStyle w:val="a3"/>
        <w:keepNext/>
        <w:keepLines/>
        <w:widowControl/>
        <w:kinsoku w:val="0"/>
        <w:overflowPunct w:val="0"/>
        <w:adjustRightInd w:val="0"/>
        <w:snapToGrid w:val="0"/>
        <w:rPr>
          <w:color w:val="000000"/>
          <w:lang w:val="en-GB"/>
        </w:rPr>
      </w:pPr>
      <w:r w:rsidRPr="00C16207">
        <w:rPr>
          <w:color w:val="000000"/>
          <w:lang w:val="en-GB"/>
        </w:rPr>
        <w:t>Celltrion Healthcare Hungary Kft.</w:t>
      </w:r>
    </w:p>
    <w:p w14:paraId="27BBAA53" w14:textId="77777777" w:rsidR="00D07625" w:rsidRPr="00C16207" w:rsidRDefault="00D07625" w:rsidP="00D07625">
      <w:pPr>
        <w:pStyle w:val="a3"/>
        <w:keepNext/>
        <w:keepLines/>
        <w:widowControl/>
        <w:kinsoku w:val="0"/>
        <w:overflowPunct w:val="0"/>
        <w:adjustRightInd w:val="0"/>
        <w:snapToGrid w:val="0"/>
        <w:rPr>
          <w:color w:val="000000"/>
          <w:lang w:val="en-GB"/>
        </w:rPr>
      </w:pPr>
      <w:r w:rsidRPr="00C16207">
        <w:rPr>
          <w:color w:val="000000"/>
          <w:lang w:val="en-GB"/>
        </w:rPr>
        <w:t>1062 Budapest</w:t>
      </w:r>
    </w:p>
    <w:p w14:paraId="6581EED8" w14:textId="77777777" w:rsidR="00D07625" w:rsidRPr="00C16207" w:rsidRDefault="00D07625" w:rsidP="00D07625">
      <w:pPr>
        <w:pStyle w:val="a3"/>
        <w:keepNext/>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4B3750">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44B4B341" w14:textId="77777777" w:rsidR="00D07625" w:rsidRPr="00C16207" w:rsidRDefault="00D07625" w:rsidP="00D07625">
      <w:pPr>
        <w:pStyle w:val="a3"/>
        <w:keepNext/>
        <w:keepLines/>
        <w:widowControl/>
        <w:adjustRightInd w:val="0"/>
        <w:snapToGrid w:val="0"/>
        <w:rPr>
          <w:color w:val="000000"/>
          <w:lang w:val="en-GB"/>
        </w:rPr>
      </w:pPr>
      <w:proofErr w:type="spellStart"/>
      <w:r>
        <w:rPr>
          <w:color w:val="000000"/>
          <w:lang w:val="en-GB"/>
        </w:rPr>
        <w:t>Ungarn</w:t>
      </w:r>
      <w:proofErr w:type="spellEnd"/>
    </w:p>
    <w:p w14:paraId="634D95D5" w14:textId="77777777" w:rsidR="003563EF" w:rsidRPr="0092341E" w:rsidRDefault="003563EF" w:rsidP="001278B6">
      <w:pPr>
        <w:pStyle w:val="a3"/>
        <w:widowControl/>
        <w:adjustRightInd w:val="0"/>
        <w:snapToGrid w:val="0"/>
        <w:rPr>
          <w:snapToGrid w:val="0"/>
          <w:lang w:val="da-DK"/>
        </w:rPr>
      </w:pPr>
    </w:p>
    <w:p w14:paraId="327A08B0" w14:textId="77777777" w:rsidR="003563EF" w:rsidRPr="0092341E" w:rsidRDefault="003563EF" w:rsidP="001278B6">
      <w:pPr>
        <w:pStyle w:val="a3"/>
        <w:widowControl/>
        <w:adjustRightInd w:val="0"/>
        <w:snapToGrid w:val="0"/>
        <w:rPr>
          <w:snapToGrid w:val="0"/>
          <w:lang w:val="da-DK"/>
        </w:rPr>
      </w:pPr>
    </w:p>
    <w:p w14:paraId="0EAC0887" w14:textId="77777777" w:rsidR="003563EF" w:rsidRPr="0092341E" w:rsidRDefault="00473235" w:rsidP="001278B6">
      <w:pPr>
        <w:pStyle w:val="1"/>
        <w:keepNext/>
        <w:keepLines/>
        <w:widowControl/>
        <w:numPr>
          <w:ilvl w:val="0"/>
          <w:numId w:val="8"/>
        </w:numPr>
        <w:adjustRightInd w:val="0"/>
        <w:snapToGrid w:val="0"/>
        <w:ind w:left="562" w:hanging="562"/>
        <w:rPr>
          <w:snapToGrid w:val="0"/>
          <w:lang w:val="da-DK"/>
        </w:rPr>
      </w:pPr>
      <w:r w:rsidRPr="0092341E">
        <w:rPr>
          <w:snapToGrid w:val="0"/>
          <w:lang w:val="da-DK"/>
        </w:rPr>
        <w:t>MARKEDSFØRINGSTILLADELSESNUMRE</w:t>
      </w:r>
    </w:p>
    <w:p w14:paraId="78CFEC8B" w14:textId="77777777" w:rsidR="003563EF" w:rsidRPr="0092341E" w:rsidRDefault="003563EF" w:rsidP="001278B6">
      <w:pPr>
        <w:pStyle w:val="a3"/>
        <w:keepNext/>
        <w:keepLines/>
        <w:widowControl/>
        <w:adjustRightInd w:val="0"/>
        <w:snapToGrid w:val="0"/>
        <w:rPr>
          <w:bCs/>
          <w:snapToGrid w:val="0"/>
          <w:lang w:val="da-DK"/>
        </w:rPr>
      </w:pPr>
    </w:p>
    <w:p w14:paraId="5BB297F7" w14:textId="6F9235CD" w:rsidR="00D07625" w:rsidRPr="0092341E" w:rsidRDefault="00295FBB" w:rsidP="00D07625">
      <w:pPr>
        <w:widowControl/>
        <w:adjustRightInd w:val="0"/>
        <w:snapToGrid w:val="0"/>
        <w:rPr>
          <w:color w:val="000000"/>
          <w:u w:val="single"/>
          <w:lang w:val="da-DK" w:eastAsia="ko-KR"/>
        </w:rPr>
      </w:pPr>
      <w:r>
        <w:rPr>
          <w:color w:val="000000"/>
          <w:u w:val="single"/>
          <w:lang w:val="da-DK" w:eastAsia="ko-KR"/>
        </w:rPr>
        <w:t>Vegzelma</w:t>
      </w:r>
      <w:r w:rsidR="00D07625" w:rsidRPr="0092341E">
        <w:rPr>
          <w:color w:val="000000"/>
          <w:u w:val="single"/>
          <w:lang w:val="da-DK" w:eastAsia="ko-KR"/>
        </w:rPr>
        <w:t xml:space="preserve"> 100</w:t>
      </w:r>
      <w:r w:rsidR="00F9010E">
        <w:rPr>
          <w:rFonts w:eastAsia="맑은 고딕" w:hint="eastAsia"/>
          <w:color w:val="000000"/>
          <w:u w:val="single"/>
          <w:lang w:val="da-DK" w:eastAsia="ko-KR"/>
        </w:rPr>
        <w:t xml:space="preserve"> </w:t>
      </w:r>
      <w:r w:rsidR="00D07625" w:rsidRPr="0092341E">
        <w:rPr>
          <w:color w:val="000000"/>
          <w:u w:val="single"/>
          <w:lang w:val="da-DK" w:eastAsia="ko-KR"/>
        </w:rPr>
        <w:t>mg</w:t>
      </w:r>
    </w:p>
    <w:p w14:paraId="0FCFF280" w14:textId="77777777" w:rsidR="001D1422" w:rsidRPr="001D1422" w:rsidRDefault="001D1422" w:rsidP="001D1422">
      <w:pPr>
        <w:widowControl/>
        <w:adjustRightInd w:val="0"/>
        <w:snapToGrid w:val="0"/>
        <w:rPr>
          <w:color w:val="000000"/>
          <w:lang w:val="da-DK" w:eastAsia="ko-KR"/>
        </w:rPr>
      </w:pPr>
      <w:r w:rsidRPr="001D1422">
        <w:rPr>
          <w:color w:val="000000"/>
          <w:lang w:val="da-DK" w:eastAsia="ko-KR"/>
        </w:rPr>
        <w:t>EU/1/22/1667/001</w:t>
      </w:r>
    </w:p>
    <w:p w14:paraId="4BD0E7ED" w14:textId="1F83C6AD" w:rsidR="001D1422" w:rsidRPr="00051658" w:rsidRDefault="001D1422" w:rsidP="001D1422">
      <w:pPr>
        <w:widowControl/>
        <w:adjustRightInd w:val="0"/>
        <w:snapToGrid w:val="0"/>
        <w:rPr>
          <w:color w:val="000000"/>
          <w:lang w:val="da-DK" w:eastAsia="ko-KR"/>
        </w:rPr>
      </w:pPr>
      <w:r w:rsidRPr="001D1422">
        <w:rPr>
          <w:color w:val="000000"/>
          <w:lang w:val="da-DK" w:eastAsia="ko-KR"/>
        </w:rPr>
        <w:t>EU/1/22/1667/003</w:t>
      </w:r>
    </w:p>
    <w:p w14:paraId="09294AEB" w14:textId="77777777" w:rsidR="00D07625" w:rsidRPr="0092341E" w:rsidRDefault="00D07625" w:rsidP="00D07625">
      <w:pPr>
        <w:widowControl/>
        <w:adjustRightInd w:val="0"/>
        <w:snapToGrid w:val="0"/>
        <w:rPr>
          <w:color w:val="000000"/>
          <w:lang w:val="da-DK" w:eastAsia="ko-KR"/>
        </w:rPr>
      </w:pPr>
    </w:p>
    <w:p w14:paraId="102BD05F" w14:textId="5726F1F5" w:rsidR="00D07625" w:rsidRPr="0092341E" w:rsidRDefault="00295FBB" w:rsidP="00D07625">
      <w:pPr>
        <w:widowControl/>
        <w:adjustRightInd w:val="0"/>
        <w:snapToGrid w:val="0"/>
        <w:rPr>
          <w:color w:val="000000"/>
          <w:u w:val="single"/>
          <w:lang w:val="da-DK" w:eastAsia="ko-KR"/>
        </w:rPr>
      </w:pPr>
      <w:r>
        <w:rPr>
          <w:color w:val="000000"/>
          <w:u w:val="single"/>
          <w:lang w:val="da-DK" w:eastAsia="ko-KR"/>
        </w:rPr>
        <w:t>Vegzelma</w:t>
      </w:r>
      <w:r w:rsidR="00D07625" w:rsidRPr="0092341E">
        <w:rPr>
          <w:color w:val="000000"/>
          <w:u w:val="single"/>
          <w:lang w:val="da-DK" w:eastAsia="ko-KR"/>
        </w:rPr>
        <w:t xml:space="preserve"> 400</w:t>
      </w:r>
      <w:r w:rsidR="00F9010E">
        <w:rPr>
          <w:rFonts w:eastAsia="맑은 고딕" w:hint="eastAsia"/>
          <w:color w:val="000000"/>
          <w:u w:val="single"/>
          <w:lang w:val="da-DK" w:eastAsia="ko-KR"/>
        </w:rPr>
        <w:t xml:space="preserve"> </w:t>
      </w:r>
      <w:r w:rsidR="00D07625" w:rsidRPr="0092341E">
        <w:rPr>
          <w:color w:val="000000"/>
          <w:u w:val="single"/>
          <w:lang w:val="da-DK" w:eastAsia="ko-KR"/>
        </w:rPr>
        <w:t>mg</w:t>
      </w:r>
    </w:p>
    <w:p w14:paraId="475720AE" w14:textId="1079F59B" w:rsidR="001D1422" w:rsidRDefault="001D1422" w:rsidP="001D1422">
      <w:pPr>
        <w:adjustRightInd w:val="0"/>
        <w:snapToGrid w:val="0"/>
        <w:spacing w:before="4"/>
        <w:rPr>
          <w:lang w:val="fr-CA" w:eastAsia="ko-KR"/>
        </w:rPr>
      </w:pPr>
      <w:r w:rsidRPr="004A14D4">
        <w:rPr>
          <w:lang w:val="fr-CA" w:eastAsia="ko-KR"/>
        </w:rPr>
        <w:t>EU/1/22/1667/002</w:t>
      </w:r>
    </w:p>
    <w:p w14:paraId="3049091D" w14:textId="748D9F1B" w:rsidR="00D07625" w:rsidRDefault="001D1422" w:rsidP="001D1422">
      <w:pPr>
        <w:widowControl/>
        <w:adjustRightInd w:val="0"/>
        <w:snapToGrid w:val="0"/>
        <w:rPr>
          <w:rFonts w:eastAsia="맑은 고딕"/>
          <w:lang w:val="fr-CA" w:eastAsia="ko-KR"/>
        </w:rPr>
      </w:pPr>
      <w:r w:rsidRPr="004A14D4">
        <w:rPr>
          <w:lang w:val="fr-CA" w:eastAsia="ko-KR"/>
        </w:rPr>
        <w:t>EU/1/22/1667/004</w:t>
      </w:r>
    </w:p>
    <w:p w14:paraId="3E21BF09" w14:textId="094298AA" w:rsidR="00572489" w:rsidRPr="00C75E0F" w:rsidRDefault="00572489" w:rsidP="001D1422">
      <w:pPr>
        <w:widowControl/>
        <w:adjustRightInd w:val="0"/>
        <w:snapToGrid w:val="0"/>
        <w:rPr>
          <w:color w:val="000000"/>
          <w:lang w:val="en-GB" w:eastAsia="ko-KR"/>
        </w:rPr>
      </w:pPr>
      <w:r>
        <w:rPr>
          <w:rFonts w:eastAsia="맑은 고딕" w:hint="eastAsia"/>
          <w:lang w:val="fr-CA" w:eastAsia="ko-KR"/>
        </w:rPr>
        <w:t>EU/1/22/1667/005</w:t>
      </w:r>
    </w:p>
    <w:p w14:paraId="7CEF7D5D" w14:textId="77777777" w:rsidR="003563EF" w:rsidRPr="001278B6" w:rsidRDefault="003563EF" w:rsidP="0092341E">
      <w:pPr>
        <w:pStyle w:val="a3"/>
        <w:widowControl/>
        <w:adjustRightInd w:val="0"/>
        <w:snapToGrid w:val="0"/>
        <w:rPr>
          <w:snapToGrid w:val="0"/>
          <w:lang w:val="da-DK"/>
        </w:rPr>
      </w:pPr>
    </w:p>
    <w:p w14:paraId="0AA96534" w14:textId="77777777" w:rsidR="003563EF" w:rsidRPr="001278B6" w:rsidRDefault="003563EF" w:rsidP="001278B6">
      <w:pPr>
        <w:pStyle w:val="a3"/>
        <w:widowControl/>
        <w:adjustRightInd w:val="0"/>
        <w:snapToGrid w:val="0"/>
        <w:rPr>
          <w:snapToGrid w:val="0"/>
          <w:lang w:val="da-DK"/>
        </w:rPr>
      </w:pPr>
    </w:p>
    <w:p w14:paraId="1F9C3EA7" w14:textId="77777777" w:rsidR="003563EF" w:rsidRPr="001278B6" w:rsidRDefault="00473235" w:rsidP="001278B6">
      <w:pPr>
        <w:pStyle w:val="1"/>
        <w:keepNext/>
        <w:keepLines/>
        <w:widowControl/>
        <w:numPr>
          <w:ilvl w:val="0"/>
          <w:numId w:val="8"/>
        </w:numPr>
        <w:adjustRightInd w:val="0"/>
        <w:snapToGrid w:val="0"/>
        <w:ind w:left="562" w:hanging="562"/>
        <w:rPr>
          <w:snapToGrid w:val="0"/>
          <w:lang w:val="da-DK"/>
        </w:rPr>
      </w:pPr>
      <w:r w:rsidRPr="001278B6">
        <w:rPr>
          <w:snapToGrid w:val="0"/>
          <w:lang w:val="da-DK"/>
        </w:rPr>
        <w:t>DATO FOR FØRSTE MARKEDSFØRINGSTILLADELSE/FORNYELSE AF TILLADELSEN</w:t>
      </w:r>
    </w:p>
    <w:p w14:paraId="481C6070" w14:textId="77777777" w:rsidR="003563EF" w:rsidRPr="001278B6" w:rsidRDefault="003563EF" w:rsidP="001278B6">
      <w:pPr>
        <w:pStyle w:val="a3"/>
        <w:keepNext/>
        <w:keepLines/>
        <w:widowControl/>
        <w:adjustRightInd w:val="0"/>
        <w:snapToGrid w:val="0"/>
        <w:rPr>
          <w:b/>
          <w:snapToGrid w:val="0"/>
          <w:lang w:val="da-DK"/>
        </w:rPr>
      </w:pPr>
    </w:p>
    <w:p w14:paraId="03AC8561" w14:textId="79EEA058" w:rsidR="009977E9" w:rsidRDefault="00473235" w:rsidP="006D0605">
      <w:pPr>
        <w:pStyle w:val="a3"/>
        <w:widowControl/>
        <w:adjustRightInd w:val="0"/>
        <w:snapToGrid w:val="0"/>
        <w:rPr>
          <w:snapToGrid w:val="0"/>
          <w:lang w:val="da-DK"/>
        </w:rPr>
      </w:pPr>
      <w:r w:rsidRPr="001278B6">
        <w:rPr>
          <w:snapToGrid w:val="0"/>
          <w:lang w:val="da-DK"/>
        </w:rPr>
        <w:t>Dato for første markedsføringstilladelse:</w:t>
      </w:r>
      <w:r w:rsidR="0096579B">
        <w:rPr>
          <w:snapToGrid w:val="0"/>
          <w:lang w:val="da-DK"/>
        </w:rPr>
        <w:t xml:space="preserve"> </w:t>
      </w:r>
      <w:r w:rsidR="0096579B" w:rsidRPr="0096579B">
        <w:rPr>
          <w:snapToGrid w:val="0"/>
          <w:lang w:val="da-DK"/>
        </w:rPr>
        <w:t>17. august 2022</w:t>
      </w:r>
    </w:p>
    <w:p w14:paraId="0C8581CE" w14:textId="77777777" w:rsidR="003563EF" w:rsidRPr="001278B6" w:rsidRDefault="00473235" w:rsidP="001278B6">
      <w:pPr>
        <w:pStyle w:val="a3"/>
        <w:widowControl/>
        <w:adjustRightInd w:val="0"/>
        <w:snapToGrid w:val="0"/>
        <w:rPr>
          <w:snapToGrid w:val="0"/>
          <w:lang w:val="da-DK"/>
        </w:rPr>
      </w:pPr>
      <w:r w:rsidRPr="001278B6">
        <w:rPr>
          <w:snapToGrid w:val="0"/>
          <w:lang w:val="da-DK"/>
        </w:rPr>
        <w:t>Dato for seneste fornyelse:</w:t>
      </w:r>
    </w:p>
    <w:p w14:paraId="78D16BB6" w14:textId="77777777" w:rsidR="003563EF" w:rsidRPr="001278B6" w:rsidRDefault="003563EF" w:rsidP="001278B6">
      <w:pPr>
        <w:pStyle w:val="a3"/>
        <w:widowControl/>
        <w:adjustRightInd w:val="0"/>
        <w:snapToGrid w:val="0"/>
        <w:rPr>
          <w:snapToGrid w:val="0"/>
          <w:lang w:val="da-DK"/>
        </w:rPr>
      </w:pPr>
    </w:p>
    <w:p w14:paraId="151E27F2" w14:textId="77777777" w:rsidR="003563EF" w:rsidRPr="001278B6" w:rsidRDefault="003563EF" w:rsidP="001278B6">
      <w:pPr>
        <w:pStyle w:val="a3"/>
        <w:widowControl/>
        <w:adjustRightInd w:val="0"/>
        <w:snapToGrid w:val="0"/>
        <w:rPr>
          <w:snapToGrid w:val="0"/>
          <w:lang w:val="da-DK"/>
        </w:rPr>
      </w:pPr>
    </w:p>
    <w:p w14:paraId="40EF2816" w14:textId="77777777" w:rsidR="003563EF" w:rsidRPr="001278B6" w:rsidRDefault="00473235" w:rsidP="001278B6">
      <w:pPr>
        <w:pStyle w:val="1"/>
        <w:keepNext/>
        <w:keepLines/>
        <w:widowControl/>
        <w:numPr>
          <w:ilvl w:val="0"/>
          <w:numId w:val="8"/>
        </w:numPr>
        <w:adjustRightInd w:val="0"/>
        <w:snapToGrid w:val="0"/>
        <w:ind w:left="562" w:hanging="562"/>
        <w:rPr>
          <w:snapToGrid w:val="0"/>
          <w:lang w:val="da-DK"/>
        </w:rPr>
      </w:pPr>
      <w:r w:rsidRPr="001278B6">
        <w:rPr>
          <w:snapToGrid w:val="0"/>
          <w:lang w:val="da-DK"/>
        </w:rPr>
        <w:t>DATO FOR ÆNDRING AF TEKSTEN</w:t>
      </w:r>
    </w:p>
    <w:p w14:paraId="31E19E2C" w14:textId="77777777" w:rsidR="003563EF" w:rsidRPr="001278B6" w:rsidRDefault="003563EF" w:rsidP="001278B6">
      <w:pPr>
        <w:pStyle w:val="a3"/>
        <w:keepNext/>
        <w:keepLines/>
        <w:widowControl/>
        <w:adjustRightInd w:val="0"/>
        <w:snapToGrid w:val="0"/>
        <w:rPr>
          <w:bCs/>
          <w:snapToGrid w:val="0"/>
          <w:lang w:val="da-DK"/>
        </w:rPr>
      </w:pPr>
    </w:p>
    <w:p w14:paraId="377DD115" w14:textId="0C1D20D8" w:rsidR="003563EF" w:rsidRPr="001278B6" w:rsidRDefault="00473235" w:rsidP="001278B6">
      <w:pPr>
        <w:pStyle w:val="a3"/>
        <w:widowControl/>
        <w:adjustRightInd w:val="0"/>
        <w:snapToGrid w:val="0"/>
        <w:rPr>
          <w:snapToGrid w:val="0"/>
          <w:lang w:val="da-DK"/>
        </w:rPr>
      </w:pPr>
      <w:r w:rsidRPr="001278B6">
        <w:rPr>
          <w:snapToGrid w:val="0"/>
          <w:lang w:val="da-DK"/>
        </w:rPr>
        <w:t xml:space="preserve">Yderligere oplysninger om </w:t>
      </w:r>
      <w:r w:rsidR="00412A17" w:rsidRPr="00412A17">
        <w:rPr>
          <w:snapToGrid w:val="0"/>
          <w:lang w:val="da-DK"/>
        </w:rPr>
        <w:t>dette lægemiddel</w:t>
      </w:r>
      <w:r w:rsidR="00412A17">
        <w:rPr>
          <w:snapToGrid w:val="0"/>
          <w:lang w:val="da-DK"/>
        </w:rPr>
        <w:t xml:space="preserve"> </w:t>
      </w:r>
      <w:r w:rsidRPr="001278B6">
        <w:rPr>
          <w:snapToGrid w:val="0"/>
          <w:lang w:val="da-DK"/>
        </w:rPr>
        <w:t xml:space="preserve">findes på Det Europæiske Lægemiddelagenturs hjemmeside </w:t>
      </w:r>
      <w:hyperlink w:history="1">
        <w:r w:rsidR="004E318A" w:rsidRPr="009E2922">
          <w:rPr>
            <w:rStyle w:val="ab"/>
            <w:snapToGrid w:val="0"/>
            <w:lang w:val="de-DE"/>
          </w:rPr>
          <w:t>https://www.ema.europa.eu</w:t>
        </w:r>
      </w:hyperlink>
      <w:r w:rsidR="00B809F3">
        <w:rPr>
          <w:snapToGrid w:val="0"/>
          <w:lang w:val="da-DK"/>
        </w:rPr>
        <w:t>.</w:t>
      </w:r>
    </w:p>
    <w:p w14:paraId="70CAD6F6" w14:textId="77777777" w:rsidR="003563EF" w:rsidRPr="001278B6" w:rsidRDefault="0097192F" w:rsidP="001278B6">
      <w:pPr>
        <w:widowControl/>
        <w:rPr>
          <w:snapToGrid w:val="0"/>
          <w:lang w:val="da-DK"/>
        </w:rPr>
      </w:pPr>
      <w:r w:rsidRPr="001278B6">
        <w:rPr>
          <w:snapToGrid w:val="0"/>
          <w:lang w:val="da-DK"/>
        </w:rPr>
        <w:br w:type="page"/>
      </w:r>
    </w:p>
    <w:p w14:paraId="30A58E62" w14:textId="77777777" w:rsidR="003563EF" w:rsidRPr="001278B6" w:rsidRDefault="003563EF" w:rsidP="001278B6">
      <w:pPr>
        <w:pStyle w:val="a3"/>
        <w:widowControl/>
        <w:adjustRightInd w:val="0"/>
        <w:snapToGrid w:val="0"/>
        <w:rPr>
          <w:snapToGrid w:val="0"/>
          <w:lang w:val="da-DK"/>
        </w:rPr>
      </w:pPr>
    </w:p>
    <w:p w14:paraId="5A54188C" w14:textId="77777777" w:rsidR="003563EF" w:rsidRPr="001278B6" w:rsidRDefault="003563EF" w:rsidP="001278B6">
      <w:pPr>
        <w:pStyle w:val="a3"/>
        <w:widowControl/>
        <w:adjustRightInd w:val="0"/>
        <w:snapToGrid w:val="0"/>
        <w:rPr>
          <w:snapToGrid w:val="0"/>
          <w:lang w:val="da-DK"/>
        </w:rPr>
      </w:pPr>
    </w:p>
    <w:p w14:paraId="673E8F9E" w14:textId="77777777" w:rsidR="003563EF" w:rsidRPr="001278B6" w:rsidRDefault="003563EF" w:rsidP="001278B6">
      <w:pPr>
        <w:pStyle w:val="a3"/>
        <w:widowControl/>
        <w:adjustRightInd w:val="0"/>
        <w:snapToGrid w:val="0"/>
        <w:rPr>
          <w:snapToGrid w:val="0"/>
          <w:lang w:val="da-DK"/>
        </w:rPr>
      </w:pPr>
    </w:p>
    <w:p w14:paraId="66189BA7" w14:textId="77777777" w:rsidR="003563EF" w:rsidRPr="001278B6" w:rsidRDefault="003563EF" w:rsidP="001278B6">
      <w:pPr>
        <w:pStyle w:val="a3"/>
        <w:widowControl/>
        <w:adjustRightInd w:val="0"/>
        <w:snapToGrid w:val="0"/>
        <w:rPr>
          <w:snapToGrid w:val="0"/>
          <w:lang w:val="da-DK"/>
        </w:rPr>
      </w:pPr>
    </w:p>
    <w:p w14:paraId="59184E27" w14:textId="77777777" w:rsidR="003563EF" w:rsidRPr="001278B6" w:rsidRDefault="003563EF" w:rsidP="001278B6">
      <w:pPr>
        <w:pStyle w:val="a3"/>
        <w:widowControl/>
        <w:adjustRightInd w:val="0"/>
        <w:snapToGrid w:val="0"/>
        <w:rPr>
          <w:snapToGrid w:val="0"/>
          <w:lang w:val="da-DK"/>
        </w:rPr>
      </w:pPr>
    </w:p>
    <w:p w14:paraId="147B0B02" w14:textId="77777777" w:rsidR="003563EF" w:rsidRPr="001278B6" w:rsidRDefault="003563EF" w:rsidP="001278B6">
      <w:pPr>
        <w:pStyle w:val="a3"/>
        <w:widowControl/>
        <w:adjustRightInd w:val="0"/>
        <w:snapToGrid w:val="0"/>
        <w:rPr>
          <w:snapToGrid w:val="0"/>
          <w:lang w:val="da-DK"/>
        </w:rPr>
      </w:pPr>
    </w:p>
    <w:p w14:paraId="4F62013A" w14:textId="77777777" w:rsidR="003563EF" w:rsidRPr="001278B6" w:rsidRDefault="003563EF" w:rsidP="001278B6">
      <w:pPr>
        <w:pStyle w:val="a3"/>
        <w:widowControl/>
        <w:adjustRightInd w:val="0"/>
        <w:snapToGrid w:val="0"/>
        <w:rPr>
          <w:snapToGrid w:val="0"/>
          <w:lang w:val="da-DK"/>
        </w:rPr>
      </w:pPr>
    </w:p>
    <w:p w14:paraId="7DD5DC11" w14:textId="77777777" w:rsidR="003563EF" w:rsidRPr="001278B6" w:rsidRDefault="003563EF" w:rsidP="001278B6">
      <w:pPr>
        <w:pStyle w:val="a3"/>
        <w:widowControl/>
        <w:adjustRightInd w:val="0"/>
        <w:snapToGrid w:val="0"/>
        <w:rPr>
          <w:snapToGrid w:val="0"/>
          <w:lang w:val="da-DK"/>
        </w:rPr>
      </w:pPr>
    </w:p>
    <w:p w14:paraId="10687BC1" w14:textId="77777777" w:rsidR="003563EF" w:rsidRPr="001278B6" w:rsidRDefault="003563EF" w:rsidP="001278B6">
      <w:pPr>
        <w:pStyle w:val="a3"/>
        <w:widowControl/>
        <w:adjustRightInd w:val="0"/>
        <w:snapToGrid w:val="0"/>
        <w:rPr>
          <w:snapToGrid w:val="0"/>
          <w:lang w:val="da-DK"/>
        </w:rPr>
      </w:pPr>
    </w:p>
    <w:p w14:paraId="13604D18" w14:textId="77777777" w:rsidR="003563EF" w:rsidRPr="001278B6" w:rsidRDefault="003563EF" w:rsidP="001278B6">
      <w:pPr>
        <w:pStyle w:val="a3"/>
        <w:widowControl/>
        <w:adjustRightInd w:val="0"/>
        <w:snapToGrid w:val="0"/>
        <w:rPr>
          <w:snapToGrid w:val="0"/>
          <w:lang w:val="da-DK"/>
        </w:rPr>
      </w:pPr>
    </w:p>
    <w:p w14:paraId="707A4B1C" w14:textId="77777777" w:rsidR="003563EF" w:rsidRPr="001278B6" w:rsidRDefault="003563EF" w:rsidP="001278B6">
      <w:pPr>
        <w:pStyle w:val="a3"/>
        <w:widowControl/>
        <w:adjustRightInd w:val="0"/>
        <w:snapToGrid w:val="0"/>
        <w:rPr>
          <w:snapToGrid w:val="0"/>
          <w:lang w:val="da-DK"/>
        </w:rPr>
      </w:pPr>
    </w:p>
    <w:p w14:paraId="1EA0769F" w14:textId="77777777" w:rsidR="003563EF" w:rsidRPr="001278B6" w:rsidRDefault="003563EF" w:rsidP="001278B6">
      <w:pPr>
        <w:pStyle w:val="a3"/>
        <w:widowControl/>
        <w:adjustRightInd w:val="0"/>
        <w:snapToGrid w:val="0"/>
        <w:rPr>
          <w:snapToGrid w:val="0"/>
          <w:lang w:val="da-DK"/>
        </w:rPr>
      </w:pPr>
    </w:p>
    <w:p w14:paraId="0CF37893" w14:textId="77777777" w:rsidR="003563EF" w:rsidRPr="001278B6" w:rsidRDefault="003563EF" w:rsidP="001278B6">
      <w:pPr>
        <w:pStyle w:val="a3"/>
        <w:widowControl/>
        <w:adjustRightInd w:val="0"/>
        <w:snapToGrid w:val="0"/>
        <w:rPr>
          <w:snapToGrid w:val="0"/>
          <w:lang w:val="da-DK"/>
        </w:rPr>
      </w:pPr>
    </w:p>
    <w:p w14:paraId="73654577" w14:textId="77777777" w:rsidR="003563EF" w:rsidRPr="001278B6" w:rsidRDefault="003563EF" w:rsidP="001278B6">
      <w:pPr>
        <w:pStyle w:val="a3"/>
        <w:widowControl/>
        <w:adjustRightInd w:val="0"/>
        <w:snapToGrid w:val="0"/>
        <w:rPr>
          <w:snapToGrid w:val="0"/>
          <w:lang w:val="da-DK"/>
        </w:rPr>
      </w:pPr>
    </w:p>
    <w:p w14:paraId="0F26CA90" w14:textId="77777777" w:rsidR="003563EF" w:rsidRPr="001278B6" w:rsidRDefault="003563EF" w:rsidP="001278B6">
      <w:pPr>
        <w:pStyle w:val="a3"/>
        <w:widowControl/>
        <w:adjustRightInd w:val="0"/>
        <w:snapToGrid w:val="0"/>
        <w:rPr>
          <w:snapToGrid w:val="0"/>
          <w:lang w:val="da-DK"/>
        </w:rPr>
      </w:pPr>
    </w:p>
    <w:p w14:paraId="5E35B22E" w14:textId="77777777" w:rsidR="003563EF" w:rsidRPr="001278B6" w:rsidRDefault="003563EF" w:rsidP="001278B6">
      <w:pPr>
        <w:pStyle w:val="a3"/>
        <w:widowControl/>
        <w:adjustRightInd w:val="0"/>
        <w:snapToGrid w:val="0"/>
        <w:rPr>
          <w:snapToGrid w:val="0"/>
          <w:lang w:val="da-DK"/>
        </w:rPr>
      </w:pPr>
    </w:p>
    <w:p w14:paraId="4D016D92" w14:textId="77777777" w:rsidR="003563EF" w:rsidRPr="001278B6" w:rsidRDefault="003563EF" w:rsidP="001278B6">
      <w:pPr>
        <w:pStyle w:val="a3"/>
        <w:widowControl/>
        <w:adjustRightInd w:val="0"/>
        <w:snapToGrid w:val="0"/>
        <w:rPr>
          <w:snapToGrid w:val="0"/>
          <w:lang w:val="da-DK"/>
        </w:rPr>
      </w:pPr>
    </w:p>
    <w:p w14:paraId="4AD5523B" w14:textId="77777777" w:rsidR="003563EF" w:rsidRPr="001278B6" w:rsidRDefault="003563EF" w:rsidP="001278B6">
      <w:pPr>
        <w:pStyle w:val="a3"/>
        <w:widowControl/>
        <w:adjustRightInd w:val="0"/>
        <w:snapToGrid w:val="0"/>
        <w:rPr>
          <w:snapToGrid w:val="0"/>
          <w:lang w:val="da-DK"/>
        </w:rPr>
      </w:pPr>
    </w:p>
    <w:p w14:paraId="74C07341" w14:textId="77777777" w:rsidR="003563EF" w:rsidRPr="001278B6" w:rsidRDefault="003563EF" w:rsidP="001278B6">
      <w:pPr>
        <w:pStyle w:val="a3"/>
        <w:widowControl/>
        <w:adjustRightInd w:val="0"/>
        <w:snapToGrid w:val="0"/>
        <w:rPr>
          <w:snapToGrid w:val="0"/>
          <w:lang w:val="da-DK"/>
        </w:rPr>
      </w:pPr>
    </w:p>
    <w:p w14:paraId="16126BF1" w14:textId="77777777" w:rsidR="003563EF" w:rsidRPr="001278B6" w:rsidRDefault="003563EF" w:rsidP="001278B6">
      <w:pPr>
        <w:pStyle w:val="a3"/>
        <w:widowControl/>
        <w:adjustRightInd w:val="0"/>
        <w:snapToGrid w:val="0"/>
        <w:rPr>
          <w:snapToGrid w:val="0"/>
          <w:lang w:val="da-DK"/>
        </w:rPr>
      </w:pPr>
    </w:p>
    <w:p w14:paraId="5BC3C29B" w14:textId="77777777" w:rsidR="003563EF" w:rsidRPr="001278B6" w:rsidRDefault="003563EF" w:rsidP="001278B6">
      <w:pPr>
        <w:pStyle w:val="a3"/>
        <w:widowControl/>
        <w:adjustRightInd w:val="0"/>
        <w:snapToGrid w:val="0"/>
        <w:rPr>
          <w:snapToGrid w:val="0"/>
          <w:lang w:val="da-DK"/>
        </w:rPr>
      </w:pPr>
    </w:p>
    <w:p w14:paraId="000DAE25" w14:textId="77777777" w:rsidR="003563EF" w:rsidRPr="001278B6" w:rsidRDefault="003563EF" w:rsidP="001278B6">
      <w:pPr>
        <w:pStyle w:val="a3"/>
        <w:widowControl/>
        <w:adjustRightInd w:val="0"/>
        <w:snapToGrid w:val="0"/>
        <w:rPr>
          <w:snapToGrid w:val="0"/>
          <w:lang w:val="da-DK"/>
        </w:rPr>
      </w:pPr>
    </w:p>
    <w:p w14:paraId="27DE8242" w14:textId="77777777" w:rsidR="003563EF" w:rsidRPr="001278B6" w:rsidRDefault="00473235" w:rsidP="001278B6">
      <w:pPr>
        <w:widowControl/>
        <w:adjustRightInd w:val="0"/>
        <w:snapToGrid w:val="0"/>
        <w:ind w:right="796"/>
        <w:jc w:val="center"/>
        <w:rPr>
          <w:b/>
          <w:snapToGrid w:val="0"/>
          <w:lang w:val="da-DK"/>
        </w:rPr>
      </w:pPr>
      <w:r w:rsidRPr="001278B6">
        <w:rPr>
          <w:b/>
          <w:snapToGrid w:val="0"/>
          <w:lang w:val="da-DK"/>
        </w:rPr>
        <w:t>BILAG II</w:t>
      </w:r>
    </w:p>
    <w:p w14:paraId="1E37D607" w14:textId="77777777" w:rsidR="003563EF" w:rsidRPr="001278B6" w:rsidRDefault="003563EF" w:rsidP="001278B6">
      <w:pPr>
        <w:pStyle w:val="a3"/>
        <w:widowControl/>
        <w:adjustRightInd w:val="0"/>
        <w:snapToGrid w:val="0"/>
        <w:ind w:right="796"/>
        <w:rPr>
          <w:b/>
          <w:snapToGrid w:val="0"/>
          <w:lang w:val="da-DK"/>
        </w:rPr>
      </w:pPr>
    </w:p>
    <w:p w14:paraId="5F1A868F" w14:textId="77777777" w:rsidR="003563EF" w:rsidRPr="001278B6" w:rsidRDefault="00473235" w:rsidP="001278B6">
      <w:pPr>
        <w:pStyle w:val="a4"/>
        <w:widowControl/>
        <w:numPr>
          <w:ilvl w:val="0"/>
          <w:numId w:val="7"/>
        </w:numPr>
        <w:tabs>
          <w:tab w:val="left" w:pos="567"/>
        </w:tabs>
        <w:adjustRightInd w:val="0"/>
        <w:snapToGrid w:val="0"/>
        <w:ind w:left="1124" w:right="796" w:hanging="562"/>
        <w:rPr>
          <w:b/>
          <w:snapToGrid w:val="0"/>
          <w:lang w:val="da-DK"/>
        </w:rPr>
      </w:pPr>
      <w:r w:rsidRPr="001278B6">
        <w:rPr>
          <w:b/>
          <w:snapToGrid w:val="0"/>
          <w:lang w:val="da-DK"/>
        </w:rPr>
        <w:t>FREMSTILLERE AF DET BIOLOGISK AKTIVE STOF OG FREMSTILLER</w:t>
      </w:r>
      <w:r w:rsidR="00D07625">
        <w:rPr>
          <w:b/>
          <w:snapToGrid w:val="0"/>
          <w:lang w:val="da-DK"/>
        </w:rPr>
        <w:t>E</w:t>
      </w:r>
      <w:r w:rsidRPr="001278B6">
        <w:rPr>
          <w:b/>
          <w:snapToGrid w:val="0"/>
          <w:lang w:val="da-DK"/>
        </w:rPr>
        <w:t xml:space="preserve"> ANSVARLIG FOR BATCHFRIGIVELSE</w:t>
      </w:r>
    </w:p>
    <w:p w14:paraId="17A908BF" w14:textId="77777777" w:rsidR="003563EF" w:rsidRPr="001278B6" w:rsidRDefault="003563EF" w:rsidP="001278B6">
      <w:pPr>
        <w:pStyle w:val="a3"/>
        <w:widowControl/>
        <w:tabs>
          <w:tab w:val="left" w:pos="567"/>
        </w:tabs>
        <w:adjustRightInd w:val="0"/>
        <w:snapToGrid w:val="0"/>
        <w:ind w:left="1124" w:right="796" w:hanging="562"/>
        <w:rPr>
          <w:b/>
          <w:snapToGrid w:val="0"/>
          <w:lang w:val="da-DK"/>
        </w:rPr>
      </w:pPr>
    </w:p>
    <w:p w14:paraId="4AC15756" w14:textId="77777777" w:rsidR="003563EF" w:rsidRPr="001278B6" w:rsidRDefault="00473235" w:rsidP="001278B6">
      <w:pPr>
        <w:pStyle w:val="a4"/>
        <w:widowControl/>
        <w:numPr>
          <w:ilvl w:val="0"/>
          <w:numId w:val="7"/>
        </w:numPr>
        <w:tabs>
          <w:tab w:val="left" w:pos="567"/>
        </w:tabs>
        <w:adjustRightInd w:val="0"/>
        <w:snapToGrid w:val="0"/>
        <w:ind w:left="1124" w:right="796" w:hanging="562"/>
        <w:rPr>
          <w:b/>
          <w:snapToGrid w:val="0"/>
          <w:lang w:val="da-DK"/>
        </w:rPr>
      </w:pPr>
      <w:r w:rsidRPr="001278B6">
        <w:rPr>
          <w:b/>
          <w:snapToGrid w:val="0"/>
          <w:lang w:val="da-DK"/>
        </w:rPr>
        <w:t>BETINGELSER ELLER BEGRÆNSNINGER VEDRØRENDE UDLEVERING OG ANVENDELSE</w:t>
      </w:r>
    </w:p>
    <w:p w14:paraId="764050CF" w14:textId="77777777" w:rsidR="003563EF" w:rsidRPr="001278B6" w:rsidRDefault="003563EF" w:rsidP="001278B6">
      <w:pPr>
        <w:pStyle w:val="a3"/>
        <w:widowControl/>
        <w:tabs>
          <w:tab w:val="left" w:pos="567"/>
        </w:tabs>
        <w:adjustRightInd w:val="0"/>
        <w:snapToGrid w:val="0"/>
        <w:ind w:left="1124" w:right="796" w:hanging="562"/>
        <w:rPr>
          <w:b/>
          <w:snapToGrid w:val="0"/>
          <w:lang w:val="da-DK"/>
        </w:rPr>
      </w:pPr>
    </w:p>
    <w:p w14:paraId="1C691BD9" w14:textId="77777777" w:rsidR="003563EF" w:rsidRPr="001278B6" w:rsidRDefault="00473235" w:rsidP="001278B6">
      <w:pPr>
        <w:pStyle w:val="a4"/>
        <w:widowControl/>
        <w:numPr>
          <w:ilvl w:val="0"/>
          <w:numId w:val="7"/>
        </w:numPr>
        <w:tabs>
          <w:tab w:val="left" w:pos="567"/>
        </w:tabs>
        <w:adjustRightInd w:val="0"/>
        <w:snapToGrid w:val="0"/>
        <w:ind w:left="1124" w:right="796" w:hanging="562"/>
        <w:rPr>
          <w:b/>
          <w:snapToGrid w:val="0"/>
          <w:lang w:val="da-DK"/>
        </w:rPr>
      </w:pPr>
      <w:r w:rsidRPr="001278B6">
        <w:rPr>
          <w:b/>
          <w:snapToGrid w:val="0"/>
          <w:lang w:val="da-DK"/>
        </w:rPr>
        <w:t>ANDRE FORHOLD OG BETINGELSER FOR MARKEDSFØRINGSTILLADELSEN</w:t>
      </w:r>
    </w:p>
    <w:p w14:paraId="075E170C" w14:textId="77777777" w:rsidR="003563EF" w:rsidRPr="001278B6" w:rsidRDefault="003563EF" w:rsidP="001278B6">
      <w:pPr>
        <w:pStyle w:val="a3"/>
        <w:widowControl/>
        <w:tabs>
          <w:tab w:val="left" w:pos="567"/>
        </w:tabs>
        <w:adjustRightInd w:val="0"/>
        <w:snapToGrid w:val="0"/>
        <w:ind w:left="1124" w:right="796" w:hanging="562"/>
        <w:rPr>
          <w:b/>
          <w:snapToGrid w:val="0"/>
          <w:lang w:val="da-DK"/>
        </w:rPr>
      </w:pPr>
    </w:p>
    <w:p w14:paraId="3FA6D837" w14:textId="77777777" w:rsidR="003563EF" w:rsidRPr="001278B6" w:rsidRDefault="00473235" w:rsidP="001278B6">
      <w:pPr>
        <w:pStyle w:val="a4"/>
        <w:widowControl/>
        <w:numPr>
          <w:ilvl w:val="0"/>
          <w:numId w:val="7"/>
        </w:numPr>
        <w:tabs>
          <w:tab w:val="left" w:pos="567"/>
        </w:tabs>
        <w:adjustRightInd w:val="0"/>
        <w:snapToGrid w:val="0"/>
        <w:ind w:left="1124" w:right="796" w:hanging="562"/>
        <w:rPr>
          <w:b/>
          <w:snapToGrid w:val="0"/>
          <w:lang w:val="da-DK"/>
        </w:rPr>
      </w:pPr>
      <w:r w:rsidRPr="001278B6">
        <w:rPr>
          <w:b/>
          <w:snapToGrid w:val="0"/>
          <w:lang w:val="da-DK"/>
        </w:rPr>
        <w:t>BETINGELSER ELLER BEGRÆNSNINGER MED HENSYN TIL SIKKER OG EFFEKTIV ANVENDELSE AF LÆGEMIDLET</w:t>
      </w:r>
    </w:p>
    <w:p w14:paraId="7EC179F0" w14:textId="205EF0B7" w:rsidR="003563EF" w:rsidRPr="001278B6" w:rsidRDefault="0097192F" w:rsidP="0050387C">
      <w:pPr>
        <w:pStyle w:val="1"/>
        <w:keepNext/>
        <w:keepLines/>
        <w:widowControl/>
        <w:numPr>
          <w:ilvl w:val="0"/>
          <w:numId w:val="30"/>
        </w:numPr>
        <w:adjustRightInd w:val="0"/>
        <w:snapToGrid w:val="0"/>
        <w:ind w:left="567"/>
        <w:rPr>
          <w:b w:val="0"/>
          <w:snapToGrid w:val="0"/>
          <w:lang w:val="da-DK"/>
        </w:rPr>
      </w:pPr>
      <w:r w:rsidRPr="001278B6">
        <w:rPr>
          <w:snapToGrid w:val="0"/>
          <w:lang w:val="da-DK"/>
        </w:rPr>
        <w:br w:type="page"/>
      </w:r>
      <w:bookmarkStart w:id="4" w:name="A_FREMSTILLER"/>
      <w:r w:rsidR="00473235" w:rsidRPr="001278B6">
        <w:rPr>
          <w:snapToGrid w:val="0"/>
          <w:lang w:val="da-DK"/>
        </w:rPr>
        <w:lastRenderedPageBreak/>
        <w:t xml:space="preserve">FREMSTILLER </w:t>
      </w:r>
      <w:bookmarkEnd w:id="4"/>
      <w:r w:rsidR="00473235" w:rsidRPr="001278B6">
        <w:rPr>
          <w:snapToGrid w:val="0"/>
          <w:lang w:val="da-DK"/>
        </w:rPr>
        <w:t>AF DET BIOLOGISK AKTIVE STOF OG FREMSTILLER ANSVARLIG FOR BATCHFRIGIVELSE</w:t>
      </w:r>
    </w:p>
    <w:p w14:paraId="5F6FE2B9" w14:textId="77777777" w:rsidR="003563EF" w:rsidRPr="001278B6" w:rsidRDefault="003563EF" w:rsidP="001278B6">
      <w:pPr>
        <w:pStyle w:val="a3"/>
        <w:widowControl/>
        <w:adjustRightInd w:val="0"/>
        <w:snapToGrid w:val="0"/>
        <w:rPr>
          <w:b/>
          <w:snapToGrid w:val="0"/>
          <w:lang w:val="da-DK"/>
        </w:rPr>
      </w:pPr>
    </w:p>
    <w:p w14:paraId="6259BAD5" w14:textId="77777777" w:rsidR="003563EF" w:rsidRPr="001278B6" w:rsidRDefault="00473235" w:rsidP="001278B6">
      <w:pPr>
        <w:pStyle w:val="a3"/>
        <w:widowControl/>
        <w:adjustRightInd w:val="0"/>
        <w:snapToGrid w:val="0"/>
        <w:rPr>
          <w:snapToGrid w:val="0"/>
          <w:lang w:val="da-DK"/>
        </w:rPr>
      </w:pPr>
      <w:r w:rsidRPr="001278B6">
        <w:rPr>
          <w:snapToGrid w:val="0"/>
          <w:u w:val="single"/>
          <w:lang w:val="da-DK"/>
        </w:rPr>
        <w:t>Navn og adresse på fremstillerne af det biologisk aktive stof</w:t>
      </w:r>
    </w:p>
    <w:p w14:paraId="27615F3D" w14:textId="77777777" w:rsidR="003563EF" w:rsidRPr="001278B6" w:rsidRDefault="003563EF" w:rsidP="001278B6">
      <w:pPr>
        <w:pStyle w:val="a3"/>
        <w:widowControl/>
        <w:adjustRightInd w:val="0"/>
        <w:snapToGrid w:val="0"/>
        <w:rPr>
          <w:snapToGrid w:val="0"/>
          <w:lang w:val="da-DK"/>
        </w:rPr>
      </w:pPr>
    </w:p>
    <w:p w14:paraId="5D8F632D" w14:textId="77777777" w:rsidR="00D07625" w:rsidRPr="00822465" w:rsidRDefault="00D07625" w:rsidP="00D07625">
      <w:pPr>
        <w:widowControl/>
        <w:adjustRightInd w:val="0"/>
        <w:snapToGrid w:val="0"/>
        <w:rPr>
          <w:rFonts w:eastAsia="SimSun"/>
          <w:color w:val="000000"/>
          <w:lang w:eastAsia="en-GB"/>
        </w:rPr>
      </w:pPr>
      <w:r w:rsidRPr="00822465">
        <w:rPr>
          <w:rFonts w:eastAsia="SimSun"/>
          <w:color w:val="000000"/>
          <w:lang w:eastAsia="en-GB"/>
        </w:rPr>
        <w:t>CELLTRION INC.</w:t>
      </w:r>
      <w:r w:rsidRPr="00822465">
        <w:rPr>
          <w:rFonts w:eastAsia="SimSun"/>
          <w:color w:val="000000"/>
          <w:lang w:eastAsia="en-GB"/>
        </w:rPr>
        <w:br/>
        <w:t>20 Academy</w:t>
      </w:r>
      <w:r w:rsidR="004B3750" w:rsidRPr="00822465">
        <w:rPr>
          <w:rFonts w:eastAsia="SimSun"/>
          <w:color w:val="000000"/>
          <w:lang w:eastAsia="en-GB"/>
        </w:rPr>
        <w:noBreakHyphen/>
      </w:r>
      <w:proofErr w:type="spellStart"/>
      <w:r w:rsidRPr="00822465">
        <w:rPr>
          <w:rFonts w:eastAsia="SimSun"/>
          <w:color w:val="000000"/>
          <w:lang w:eastAsia="en-GB"/>
        </w:rPr>
        <w:t>ro</w:t>
      </w:r>
      <w:proofErr w:type="spellEnd"/>
      <w:r w:rsidRPr="00822465">
        <w:rPr>
          <w:rFonts w:eastAsia="SimSun"/>
          <w:color w:val="000000"/>
          <w:lang w:eastAsia="en-GB"/>
        </w:rPr>
        <w:t xml:space="preserve"> 51 </w:t>
      </w:r>
      <w:proofErr w:type="spellStart"/>
      <w:r w:rsidRPr="00822465">
        <w:rPr>
          <w:rFonts w:eastAsia="SimSun"/>
          <w:color w:val="000000"/>
          <w:lang w:eastAsia="en-GB"/>
        </w:rPr>
        <w:t>beon</w:t>
      </w:r>
      <w:r w:rsidR="004B3750" w:rsidRPr="00822465">
        <w:rPr>
          <w:rFonts w:eastAsia="SimSun"/>
          <w:color w:val="000000"/>
          <w:lang w:eastAsia="en-GB"/>
        </w:rPr>
        <w:noBreakHyphen/>
      </w:r>
      <w:r w:rsidRPr="00822465">
        <w:rPr>
          <w:rFonts w:eastAsia="SimSun"/>
          <w:color w:val="000000"/>
          <w:lang w:eastAsia="en-GB"/>
        </w:rPr>
        <w:t>gil</w:t>
      </w:r>
      <w:proofErr w:type="spellEnd"/>
      <w:r w:rsidRPr="00822465">
        <w:rPr>
          <w:rFonts w:eastAsia="SimSun"/>
          <w:color w:val="000000"/>
          <w:lang w:eastAsia="en-GB"/>
        </w:rPr>
        <w:br/>
      </w:r>
      <w:proofErr w:type="spellStart"/>
      <w:r w:rsidRPr="00822465">
        <w:rPr>
          <w:rFonts w:eastAsia="SimSun"/>
          <w:color w:val="000000"/>
          <w:lang w:eastAsia="en-GB"/>
        </w:rPr>
        <w:t>Yeonsu</w:t>
      </w:r>
      <w:r w:rsidR="004B3750" w:rsidRPr="00822465">
        <w:rPr>
          <w:rFonts w:eastAsia="SimSun"/>
          <w:color w:val="000000"/>
          <w:lang w:eastAsia="en-GB"/>
        </w:rPr>
        <w:noBreakHyphen/>
      </w:r>
      <w:r w:rsidRPr="00822465">
        <w:rPr>
          <w:rFonts w:eastAsia="SimSun"/>
          <w:color w:val="000000"/>
          <w:lang w:eastAsia="en-GB"/>
        </w:rPr>
        <w:t>gu</w:t>
      </w:r>
      <w:proofErr w:type="spellEnd"/>
      <w:r w:rsidRPr="00822465">
        <w:rPr>
          <w:rFonts w:eastAsia="SimSun"/>
          <w:color w:val="000000"/>
          <w:lang w:eastAsia="en-GB"/>
        </w:rPr>
        <w:br/>
        <w:t>22014 Incheon</w:t>
      </w:r>
      <w:r w:rsidRPr="00822465">
        <w:rPr>
          <w:rFonts w:eastAsia="SimSun"/>
          <w:color w:val="000000"/>
          <w:lang w:eastAsia="en-GB"/>
        </w:rPr>
        <w:br/>
      </w:r>
      <w:proofErr w:type="spellStart"/>
      <w:r w:rsidR="00D236E4" w:rsidRPr="00822465">
        <w:rPr>
          <w:rFonts w:eastAsia="SimSun"/>
          <w:color w:val="000000"/>
          <w:lang w:eastAsia="en-GB"/>
        </w:rPr>
        <w:t>Sydkorea</w:t>
      </w:r>
      <w:proofErr w:type="spellEnd"/>
    </w:p>
    <w:p w14:paraId="60DCA224" w14:textId="77777777" w:rsidR="003563EF" w:rsidRPr="00822465" w:rsidRDefault="003563EF" w:rsidP="001278B6">
      <w:pPr>
        <w:pStyle w:val="a3"/>
        <w:widowControl/>
        <w:adjustRightInd w:val="0"/>
        <w:snapToGrid w:val="0"/>
        <w:rPr>
          <w:snapToGrid w:val="0"/>
        </w:rPr>
      </w:pPr>
    </w:p>
    <w:p w14:paraId="0B453565" w14:textId="77777777" w:rsidR="003563EF" w:rsidRPr="001278B6" w:rsidRDefault="00473235" w:rsidP="001278B6">
      <w:pPr>
        <w:pStyle w:val="a3"/>
        <w:widowControl/>
        <w:adjustRightInd w:val="0"/>
        <w:snapToGrid w:val="0"/>
        <w:rPr>
          <w:snapToGrid w:val="0"/>
          <w:lang w:val="da-DK"/>
        </w:rPr>
      </w:pPr>
      <w:r w:rsidRPr="001278B6">
        <w:rPr>
          <w:snapToGrid w:val="0"/>
          <w:u w:val="single"/>
          <w:lang w:val="da-DK"/>
        </w:rPr>
        <w:t>Navn og adresse på den fremstiller, der er ansvarlig for batchfrigivelse</w:t>
      </w:r>
    </w:p>
    <w:p w14:paraId="39E9DF44" w14:textId="77777777" w:rsidR="00455604" w:rsidRDefault="00455604" w:rsidP="00BF66EF">
      <w:pPr>
        <w:widowControl/>
        <w:adjustRightInd w:val="0"/>
        <w:snapToGrid w:val="0"/>
        <w:rPr>
          <w:rFonts w:eastAsia="맑은 고딕"/>
          <w:color w:val="000000"/>
          <w:lang w:val="de-DE" w:eastAsia="ko-KR"/>
        </w:rPr>
      </w:pPr>
    </w:p>
    <w:p w14:paraId="23B143D5" w14:textId="3D672B03" w:rsidR="00BF66EF" w:rsidRPr="003C63FB" w:rsidRDefault="00BF66EF" w:rsidP="00BF66EF">
      <w:pPr>
        <w:widowControl/>
        <w:adjustRightInd w:val="0"/>
        <w:snapToGrid w:val="0"/>
        <w:rPr>
          <w:color w:val="000000"/>
          <w:lang w:val="de-DE"/>
        </w:rPr>
      </w:pPr>
      <w:r w:rsidRPr="003C63FB">
        <w:rPr>
          <w:color w:val="000000"/>
          <w:lang w:val="de-DE"/>
        </w:rPr>
        <w:t>Nuvisan GmbH</w:t>
      </w:r>
    </w:p>
    <w:p w14:paraId="6284164C" w14:textId="77777777" w:rsidR="00BF66EF" w:rsidRPr="003C63FB" w:rsidRDefault="00BF66EF" w:rsidP="00BF66EF">
      <w:pPr>
        <w:widowControl/>
        <w:adjustRightInd w:val="0"/>
        <w:snapToGrid w:val="0"/>
        <w:rPr>
          <w:color w:val="000000"/>
          <w:lang w:val="de-DE"/>
        </w:rPr>
      </w:pPr>
      <w:r w:rsidRPr="003C63FB">
        <w:rPr>
          <w:color w:val="000000"/>
          <w:lang w:val="de-DE"/>
        </w:rPr>
        <w:t>Wegenerstraße 13</w:t>
      </w:r>
    </w:p>
    <w:p w14:paraId="00584C3D" w14:textId="5481B3F7" w:rsidR="00BF66EF" w:rsidRPr="003C63FB" w:rsidRDefault="00BF66EF" w:rsidP="00BF66EF">
      <w:pPr>
        <w:widowControl/>
        <w:adjustRightInd w:val="0"/>
        <w:snapToGrid w:val="0"/>
        <w:rPr>
          <w:color w:val="000000"/>
          <w:lang w:val="de-DE"/>
        </w:rPr>
      </w:pPr>
      <w:r w:rsidRPr="003C63FB">
        <w:rPr>
          <w:color w:val="000000"/>
          <w:lang w:val="de-DE"/>
        </w:rPr>
        <w:t>89231 Neu</w:t>
      </w:r>
      <w:r w:rsidR="00F9010E">
        <w:rPr>
          <w:rFonts w:eastAsia="맑은 고딕" w:hint="eastAsia"/>
          <w:color w:val="000000"/>
          <w:lang w:val="de-DE" w:eastAsia="ko-KR"/>
        </w:rPr>
        <w:t>-</w:t>
      </w:r>
      <w:r w:rsidRPr="003C63FB">
        <w:rPr>
          <w:color w:val="000000"/>
          <w:lang w:val="de-DE"/>
        </w:rPr>
        <w:t>Ulm</w:t>
      </w:r>
    </w:p>
    <w:p w14:paraId="56715F7B" w14:textId="77777777" w:rsidR="003563EF" w:rsidRPr="00E57E81" w:rsidRDefault="00473235" w:rsidP="001278B6">
      <w:pPr>
        <w:pStyle w:val="a3"/>
        <w:widowControl/>
        <w:adjustRightInd w:val="0"/>
        <w:snapToGrid w:val="0"/>
        <w:rPr>
          <w:snapToGrid w:val="0"/>
        </w:rPr>
      </w:pPr>
      <w:proofErr w:type="spellStart"/>
      <w:r w:rsidRPr="00E57E81">
        <w:rPr>
          <w:snapToGrid w:val="0"/>
        </w:rPr>
        <w:t>Tyskland</w:t>
      </w:r>
      <w:proofErr w:type="spellEnd"/>
    </w:p>
    <w:p w14:paraId="5668C8AD" w14:textId="77777777" w:rsidR="00BF66EF" w:rsidRPr="00E57E81" w:rsidRDefault="00BF66EF" w:rsidP="001278B6">
      <w:pPr>
        <w:pStyle w:val="a3"/>
        <w:widowControl/>
        <w:adjustRightInd w:val="0"/>
        <w:snapToGrid w:val="0"/>
        <w:rPr>
          <w:snapToGrid w:val="0"/>
        </w:rPr>
      </w:pPr>
    </w:p>
    <w:p w14:paraId="0CE778A8" w14:textId="77777777" w:rsidR="00BF66EF" w:rsidRPr="003C63FB" w:rsidRDefault="00BF66EF" w:rsidP="00BF66EF">
      <w:pPr>
        <w:widowControl/>
        <w:adjustRightInd w:val="0"/>
        <w:snapToGrid w:val="0"/>
        <w:rPr>
          <w:color w:val="000000"/>
          <w:lang w:val="fr-FR"/>
        </w:rPr>
      </w:pPr>
      <w:proofErr w:type="spellStart"/>
      <w:r w:rsidRPr="003C63FB">
        <w:rPr>
          <w:color w:val="000000"/>
          <w:lang w:val="fr-FR"/>
        </w:rPr>
        <w:t>Nuvisan</w:t>
      </w:r>
      <w:proofErr w:type="spellEnd"/>
      <w:r w:rsidRPr="003C63FB">
        <w:rPr>
          <w:color w:val="000000"/>
          <w:lang w:val="fr-FR"/>
        </w:rPr>
        <w:t xml:space="preserve"> France SARL</w:t>
      </w:r>
    </w:p>
    <w:p w14:paraId="270C7669" w14:textId="77777777" w:rsidR="00BF66EF" w:rsidRPr="003C63FB" w:rsidRDefault="00BF66EF" w:rsidP="00BF66EF">
      <w:pPr>
        <w:widowControl/>
        <w:adjustRightInd w:val="0"/>
        <w:snapToGrid w:val="0"/>
        <w:rPr>
          <w:color w:val="000000"/>
          <w:lang w:val="fr-FR"/>
        </w:rPr>
      </w:pPr>
      <w:r w:rsidRPr="003C63FB">
        <w:rPr>
          <w:color w:val="000000"/>
          <w:lang w:val="fr-FR"/>
        </w:rPr>
        <w:t>2400, Route des Colles</w:t>
      </w:r>
    </w:p>
    <w:p w14:paraId="24276886" w14:textId="0EE1FF19" w:rsidR="00BF66EF" w:rsidRPr="00F9010E" w:rsidRDefault="00BF66EF" w:rsidP="00BF66EF">
      <w:pPr>
        <w:widowControl/>
        <w:adjustRightInd w:val="0"/>
        <w:snapToGrid w:val="0"/>
        <w:rPr>
          <w:color w:val="000000"/>
          <w:lang w:val="da-DK"/>
        </w:rPr>
      </w:pPr>
      <w:r w:rsidRPr="00051658">
        <w:rPr>
          <w:color w:val="000000"/>
          <w:lang w:val="da-DK"/>
        </w:rPr>
        <w:t xml:space="preserve">06410, </w:t>
      </w:r>
      <w:r w:rsidR="00F9010E">
        <w:rPr>
          <w:rFonts w:eastAsia="맑은 고딕" w:hint="eastAsia"/>
          <w:color w:val="000000"/>
          <w:lang w:val="da-DK" w:eastAsia="ko-KR"/>
        </w:rPr>
        <w:t>Biot</w:t>
      </w:r>
    </w:p>
    <w:p w14:paraId="16E19002" w14:textId="77777777" w:rsidR="00BF66EF" w:rsidRDefault="00BF66EF" w:rsidP="00BF66EF">
      <w:pPr>
        <w:widowControl/>
        <w:adjustRightInd w:val="0"/>
        <w:snapToGrid w:val="0"/>
        <w:rPr>
          <w:color w:val="000000"/>
          <w:lang w:val="da-DK"/>
        </w:rPr>
      </w:pPr>
      <w:r w:rsidRPr="00051658">
        <w:rPr>
          <w:color w:val="000000"/>
          <w:lang w:val="da-DK"/>
        </w:rPr>
        <w:t>Fran</w:t>
      </w:r>
      <w:r w:rsidRPr="00515644">
        <w:rPr>
          <w:color w:val="000000"/>
          <w:lang w:val="da-DK"/>
        </w:rPr>
        <w:t>krig</w:t>
      </w:r>
    </w:p>
    <w:p w14:paraId="4DB1F523" w14:textId="77777777" w:rsidR="00254447" w:rsidRDefault="00254447" w:rsidP="00BF66EF">
      <w:pPr>
        <w:widowControl/>
        <w:adjustRightInd w:val="0"/>
        <w:snapToGrid w:val="0"/>
        <w:rPr>
          <w:color w:val="000000"/>
          <w:lang w:val="da-DK"/>
        </w:rPr>
      </w:pPr>
    </w:p>
    <w:p w14:paraId="29CDE771" w14:textId="77777777" w:rsidR="009845DE" w:rsidRPr="00455604" w:rsidRDefault="009845DE" w:rsidP="009845DE">
      <w:pPr>
        <w:spacing w:before="10" w:line="240" w:lineRule="exact"/>
        <w:rPr>
          <w:rFonts w:eastAsiaTheme="minorEastAsia"/>
          <w:lang w:eastAsia="ko-KR"/>
        </w:rPr>
      </w:pPr>
      <w:proofErr w:type="spellStart"/>
      <w:r w:rsidRPr="00455604">
        <w:rPr>
          <w:rFonts w:eastAsiaTheme="minorEastAsia"/>
          <w:lang w:eastAsia="ko-KR"/>
        </w:rPr>
        <w:t>Kymos</w:t>
      </w:r>
      <w:proofErr w:type="spellEnd"/>
      <w:r w:rsidRPr="00455604">
        <w:rPr>
          <w:rFonts w:eastAsiaTheme="minorEastAsia"/>
          <w:lang w:eastAsia="ko-KR"/>
        </w:rPr>
        <w:t xml:space="preserve"> S.L.</w:t>
      </w:r>
    </w:p>
    <w:p w14:paraId="571BCC4D" w14:textId="77777777" w:rsidR="0063337E" w:rsidRPr="00167801" w:rsidRDefault="0063337E" w:rsidP="0063337E">
      <w:pPr>
        <w:adjustRightInd w:val="0"/>
        <w:rPr>
          <w:color w:val="000000"/>
          <w:lang w:val="da-DK"/>
        </w:rPr>
      </w:pPr>
      <w:r w:rsidRPr="00167801">
        <w:rPr>
          <w:color w:val="000000"/>
          <w:lang w:val="da-DK"/>
        </w:rPr>
        <w:t>Ronda Can Fatjó 7B</w:t>
      </w:r>
    </w:p>
    <w:p w14:paraId="60798D72" w14:textId="7D49BE5F" w:rsidR="0063337E" w:rsidRPr="00167801" w:rsidRDefault="0063337E" w:rsidP="0063337E">
      <w:pPr>
        <w:adjustRightInd w:val="0"/>
        <w:rPr>
          <w:color w:val="000000"/>
          <w:lang w:val="da-DK"/>
        </w:rPr>
      </w:pPr>
      <w:r w:rsidRPr="00167801">
        <w:rPr>
          <w:color w:val="000000"/>
          <w:lang w:val="da-DK"/>
        </w:rPr>
        <w:t>(Parque Tecnológico del Vallès)</w:t>
      </w:r>
      <w:r>
        <w:rPr>
          <w:color w:val="000000"/>
          <w:lang w:val="da-DK"/>
        </w:rPr>
        <w:t xml:space="preserve"> </w:t>
      </w:r>
      <w:r w:rsidRPr="00167801">
        <w:rPr>
          <w:color w:val="000000"/>
          <w:lang w:val="da-DK"/>
        </w:rPr>
        <w:t>Cerdanyola del Vallès</w:t>
      </w:r>
    </w:p>
    <w:p w14:paraId="323448B3" w14:textId="11193C20" w:rsidR="0063337E" w:rsidRPr="00167801" w:rsidRDefault="0063337E" w:rsidP="0063337E">
      <w:pPr>
        <w:adjustRightInd w:val="0"/>
        <w:rPr>
          <w:color w:val="000000"/>
          <w:lang w:val="da-DK"/>
        </w:rPr>
      </w:pPr>
      <w:r w:rsidRPr="00167801">
        <w:rPr>
          <w:color w:val="000000"/>
          <w:lang w:val="da-DK"/>
        </w:rPr>
        <w:t>08290 Barcelona</w:t>
      </w:r>
    </w:p>
    <w:p w14:paraId="49BB7D8D" w14:textId="77777777" w:rsidR="00254447" w:rsidRDefault="00254447" w:rsidP="00254447">
      <w:pPr>
        <w:rPr>
          <w:lang w:val="da-DK"/>
        </w:rPr>
      </w:pPr>
      <w:r w:rsidRPr="00B14EF0">
        <w:rPr>
          <w:shd w:val="clear" w:color="auto" w:fill="FFFFFF"/>
          <w:lang w:val="da-DK"/>
        </w:rPr>
        <w:t>Spanien</w:t>
      </w:r>
    </w:p>
    <w:p w14:paraId="665E6076" w14:textId="77777777" w:rsidR="00BF66EF" w:rsidRDefault="00BF66EF" w:rsidP="001278B6">
      <w:pPr>
        <w:pStyle w:val="a3"/>
        <w:widowControl/>
        <w:adjustRightInd w:val="0"/>
        <w:snapToGrid w:val="0"/>
        <w:rPr>
          <w:snapToGrid w:val="0"/>
          <w:lang w:val="da-DK"/>
        </w:rPr>
      </w:pPr>
    </w:p>
    <w:p w14:paraId="540BDDA3" w14:textId="77777777" w:rsidR="00246864" w:rsidRPr="00455604" w:rsidRDefault="00246864" w:rsidP="00246864">
      <w:r w:rsidRPr="00455604">
        <w:rPr>
          <w:spacing w:val="-5"/>
        </w:rPr>
        <w:t>Midas Pharma GmbH</w:t>
      </w:r>
    </w:p>
    <w:p w14:paraId="6642900D" w14:textId="77777777" w:rsidR="00246864" w:rsidRPr="00455604" w:rsidRDefault="00246864" w:rsidP="00246864">
      <w:proofErr w:type="spellStart"/>
      <w:r w:rsidRPr="00455604">
        <w:t>Rheinstraße</w:t>
      </w:r>
      <w:proofErr w:type="spellEnd"/>
      <w:r w:rsidRPr="00455604">
        <w:t xml:space="preserve"> 49</w:t>
      </w:r>
    </w:p>
    <w:p w14:paraId="229D3AC3" w14:textId="77777777" w:rsidR="00246864" w:rsidRPr="00C82ECE" w:rsidRDefault="00246864" w:rsidP="00246864">
      <w:pPr>
        <w:rPr>
          <w:lang w:eastAsia="ko-KR"/>
        </w:rPr>
      </w:pPr>
      <w:r w:rsidRPr="00C82ECE">
        <w:t>55218 Ingelheim am Rhein</w:t>
      </w:r>
    </w:p>
    <w:p w14:paraId="04E3FDDF" w14:textId="77777777" w:rsidR="00246864" w:rsidRPr="00455604" w:rsidRDefault="00246864" w:rsidP="00246864">
      <w:proofErr w:type="spellStart"/>
      <w:r w:rsidRPr="00455604">
        <w:t>Tyskland</w:t>
      </w:r>
      <w:proofErr w:type="spellEnd"/>
    </w:p>
    <w:p w14:paraId="70498684" w14:textId="77777777" w:rsidR="00246864" w:rsidRPr="001278B6" w:rsidRDefault="00246864" w:rsidP="001278B6">
      <w:pPr>
        <w:pStyle w:val="a3"/>
        <w:widowControl/>
        <w:adjustRightInd w:val="0"/>
        <w:snapToGrid w:val="0"/>
        <w:rPr>
          <w:snapToGrid w:val="0"/>
          <w:lang w:val="da-DK"/>
        </w:rPr>
      </w:pPr>
    </w:p>
    <w:p w14:paraId="4DA77080" w14:textId="77777777" w:rsidR="003563EF" w:rsidRPr="001278B6" w:rsidRDefault="00BF66EF" w:rsidP="001278B6">
      <w:pPr>
        <w:pStyle w:val="a3"/>
        <w:widowControl/>
        <w:adjustRightInd w:val="0"/>
        <w:snapToGrid w:val="0"/>
        <w:rPr>
          <w:snapToGrid w:val="0"/>
          <w:lang w:val="da-DK"/>
        </w:rPr>
      </w:pPr>
      <w:r>
        <w:rPr>
          <w:color w:val="000000"/>
          <w:lang w:val="da-DK"/>
        </w:rPr>
        <w:t>På lægemidlets trykte indlægsseddel skal der anføres navn og adresse på den fremstiller, som er ansvarlig for frigivelsen af den pågældende batch.</w:t>
      </w:r>
    </w:p>
    <w:p w14:paraId="2B93ABFA" w14:textId="77777777" w:rsidR="003563EF" w:rsidRDefault="003563EF" w:rsidP="001278B6">
      <w:pPr>
        <w:pStyle w:val="a3"/>
        <w:widowControl/>
        <w:adjustRightInd w:val="0"/>
        <w:snapToGrid w:val="0"/>
        <w:rPr>
          <w:snapToGrid w:val="0"/>
          <w:lang w:val="da-DK"/>
        </w:rPr>
      </w:pPr>
    </w:p>
    <w:p w14:paraId="5B39689D" w14:textId="77777777" w:rsidR="002F574B" w:rsidRPr="001278B6" w:rsidRDefault="002F574B" w:rsidP="001278B6">
      <w:pPr>
        <w:pStyle w:val="a3"/>
        <w:widowControl/>
        <w:adjustRightInd w:val="0"/>
        <w:snapToGrid w:val="0"/>
        <w:rPr>
          <w:snapToGrid w:val="0"/>
          <w:lang w:val="da-DK"/>
        </w:rPr>
      </w:pPr>
    </w:p>
    <w:p w14:paraId="446F4439" w14:textId="77777777" w:rsidR="003563EF" w:rsidRPr="001278B6" w:rsidRDefault="00473235" w:rsidP="0050387C">
      <w:pPr>
        <w:pStyle w:val="1"/>
        <w:widowControl/>
        <w:numPr>
          <w:ilvl w:val="0"/>
          <w:numId w:val="30"/>
        </w:numPr>
        <w:adjustRightInd w:val="0"/>
        <w:snapToGrid w:val="0"/>
        <w:ind w:left="567"/>
        <w:rPr>
          <w:snapToGrid w:val="0"/>
          <w:lang w:val="da-DK"/>
        </w:rPr>
      </w:pPr>
      <w:bookmarkStart w:id="5" w:name="B._BETINGELSER_ELLER_BEGRÆNSNINGER_VEDRØ"/>
      <w:bookmarkEnd w:id="5"/>
      <w:r w:rsidRPr="001278B6">
        <w:rPr>
          <w:snapToGrid w:val="0"/>
          <w:lang w:val="da-DK"/>
        </w:rPr>
        <w:t>BETINGELSER ELLER BEGRÆNSNINGER VEDRØRENDE UDLEVERING OG ANVENDELSE</w:t>
      </w:r>
    </w:p>
    <w:p w14:paraId="7B991BD7" w14:textId="77777777" w:rsidR="003563EF" w:rsidRPr="001278B6" w:rsidRDefault="003563EF" w:rsidP="001278B6">
      <w:pPr>
        <w:pStyle w:val="a3"/>
        <w:widowControl/>
        <w:adjustRightInd w:val="0"/>
        <w:snapToGrid w:val="0"/>
        <w:rPr>
          <w:b/>
          <w:snapToGrid w:val="0"/>
          <w:lang w:val="da-DK"/>
        </w:rPr>
      </w:pPr>
    </w:p>
    <w:p w14:paraId="3BCDFED7" w14:textId="77777777" w:rsidR="003563EF" w:rsidRPr="001278B6" w:rsidRDefault="00473235" w:rsidP="001278B6">
      <w:pPr>
        <w:pStyle w:val="a3"/>
        <w:widowControl/>
        <w:adjustRightInd w:val="0"/>
        <w:snapToGrid w:val="0"/>
        <w:rPr>
          <w:snapToGrid w:val="0"/>
          <w:lang w:val="da-DK"/>
        </w:rPr>
      </w:pPr>
      <w:r w:rsidRPr="001278B6">
        <w:rPr>
          <w:snapToGrid w:val="0"/>
          <w:lang w:val="da-DK"/>
        </w:rPr>
        <w:t>Lægemidlet må kun udleveres efter ordination på en recept udstedt af en begrænset lægegruppe (se bilag I: Produktresumé; pkt. 4.2).</w:t>
      </w:r>
    </w:p>
    <w:p w14:paraId="68B66222" w14:textId="77777777" w:rsidR="003563EF" w:rsidRPr="001278B6" w:rsidRDefault="003563EF" w:rsidP="001278B6">
      <w:pPr>
        <w:pStyle w:val="a3"/>
        <w:widowControl/>
        <w:adjustRightInd w:val="0"/>
        <w:snapToGrid w:val="0"/>
        <w:rPr>
          <w:snapToGrid w:val="0"/>
          <w:lang w:val="da-DK"/>
        </w:rPr>
      </w:pPr>
    </w:p>
    <w:p w14:paraId="37DF9F00" w14:textId="77777777" w:rsidR="003563EF" w:rsidRPr="001278B6" w:rsidRDefault="003563EF" w:rsidP="001278B6">
      <w:pPr>
        <w:pStyle w:val="a3"/>
        <w:widowControl/>
        <w:adjustRightInd w:val="0"/>
        <w:snapToGrid w:val="0"/>
        <w:rPr>
          <w:snapToGrid w:val="0"/>
          <w:lang w:val="da-DK"/>
        </w:rPr>
      </w:pPr>
    </w:p>
    <w:p w14:paraId="18E38504" w14:textId="77777777" w:rsidR="003563EF" w:rsidRPr="001278B6" w:rsidRDefault="00473235" w:rsidP="0050387C">
      <w:pPr>
        <w:pStyle w:val="1"/>
        <w:widowControl/>
        <w:numPr>
          <w:ilvl w:val="0"/>
          <w:numId w:val="30"/>
        </w:numPr>
        <w:adjustRightInd w:val="0"/>
        <w:snapToGrid w:val="0"/>
        <w:ind w:left="0" w:firstLine="0"/>
        <w:rPr>
          <w:snapToGrid w:val="0"/>
          <w:lang w:val="da-DK"/>
        </w:rPr>
      </w:pPr>
      <w:bookmarkStart w:id="6" w:name="C._ANDRE_FORHOLD_OG_BETINGELSER_FOR_MARK"/>
      <w:bookmarkEnd w:id="6"/>
      <w:r w:rsidRPr="001278B6">
        <w:rPr>
          <w:snapToGrid w:val="0"/>
          <w:lang w:val="da-DK"/>
        </w:rPr>
        <w:t>ANDRE FORHOLD OG BETINGELSER FOR MARKEDSFØRINGSTILLADELSEN</w:t>
      </w:r>
    </w:p>
    <w:p w14:paraId="6B729EE7" w14:textId="77777777" w:rsidR="003563EF" w:rsidRPr="001278B6" w:rsidRDefault="003563EF" w:rsidP="001278B6">
      <w:pPr>
        <w:pStyle w:val="a3"/>
        <w:widowControl/>
        <w:adjustRightInd w:val="0"/>
        <w:snapToGrid w:val="0"/>
        <w:rPr>
          <w:b/>
          <w:snapToGrid w:val="0"/>
          <w:lang w:val="da-DK"/>
        </w:rPr>
      </w:pPr>
    </w:p>
    <w:p w14:paraId="2746E374" w14:textId="77777777" w:rsidR="003563EF" w:rsidRPr="001278B6" w:rsidRDefault="00473235" w:rsidP="001278B6">
      <w:pPr>
        <w:pStyle w:val="2"/>
        <w:widowControl/>
        <w:numPr>
          <w:ilvl w:val="0"/>
          <w:numId w:val="14"/>
        </w:numPr>
        <w:adjustRightInd w:val="0"/>
        <w:snapToGrid w:val="0"/>
        <w:ind w:left="0" w:firstLine="0"/>
        <w:rPr>
          <w:snapToGrid w:val="0"/>
          <w:lang w:val="da-DK"/>
        </w:rPr>
      </w:pPr>
      <w:r w:rsidRPr="001278B6">
        <w:rPr>
          <w:snapToGrid w:val="0"/>
          <w:lang w:val="da-DK"/>
        </w:rPr>
        <w:t>Periodiske, opdaterede sikkerhedsindberetninger (PSUR</w:t>
      </w:r>
      <w:r w:rsidR="009F4009">
        <w:rPr>
          <w:snapToGrid w:val="0"/>
          <w:lang w:val="da-DK"/>
        </w:rPr>
        <w:t>’</w:t>
      </w:r>
      <w:r w:rsidRPr="001278B6">
        <w:rPr>
          <w:snapToGrid w:val="0"/>
          <w:lang w:val="da-DK"/>
        </w:rPr>
        <w:t>er)</w:t>
      </w:r>
    </w:p>
    <w:p w14:paraId="6590A365" w14:textId="77777777" w:rsidR="003563EF" w:rsidRPr="001278B6" w:rsidRDefault="003563EF" w:rsidP="001278B6">
      <w:pPr>
        <w:pStyle w:val="a3"/>
        <w:widowControl/>
        <w:adjustRightInd w:val="0"/>
        <w:snapToGrid w:val="0"/>
        <w:rPr>
          <w:b/>
          <w:snapToGrid w:val="0"/>
          <w:lang w:val="da-DK"/>
        </w:rPr>
      </w:pPr>
    </w:p>
    <w:p w14:paraId="78D933C1" w14:textId="0F0418EF" w:rsidR="003563EF" w:rsidRPr="001278B6" w:rsidRDefault="00473235" w:rsidP="001278B6">
      <w:pPr>
        <w:pStyle w:val="a3"/>
        <w:widowControl/>
        <w:adjustRightInd w:val="0"/>
        <w:snapToGrid w:val="0"/>
        <w:rPr>
          <w:snapToGrid w:val="0"/>
          <w:lang w:val="da-DK"/>
        </w:rPr>
      </w:pPr>
      <w:r w:rsidRPr="001278B6">
        <w:rPr>
          <w:snapToGrid w:val="0"/>
          <w:lang w:val="da-DK"/>
        </w:rPr>
        <w:t>Kravene for fremsendelse af PSUR’er for dette lægemiddel fremgår af listen over EU</w:t>
      </w:r>
      <w:r w:rsidR="004B3750">
        <w:rPr>
          <w:snapToGrid w:val="0"/>
          <w:lang w:val="da-DK"/>
        </w:rPr>
        <w:noBreakHyphen/>
      </w:r>
      <w:r w:rsidRPr="001278B6">
        <w:rPr>
          <w:snapToGrid w:val="0"/>
          <w:lang w:val="da-DK"/>
        </w:rPr>
        <w:t xml:space="preserve">referencedatoer (EURD list), som fastsat i artikel 107c, stk. 7, i direktiv 2001/83/EF, og alle efterfølgende opdateringer offentliggjort på Det Europæiske Lægemiddelagenturs hjemmeside </w:t>
      </w:r>
      <w:r w:rsidR="000759BE">
        <w:fldChar w:fldCharType="begin"/>
      </w:r>
      <w:r w:rsidR="000759BE" w:rsidRPr="00E57E81">
        <w:rPr>
          <w:lang w:val="da-DK"/>
        </w:rPr>
        <w:instrText>HYPERLINK "http://www.emea.europa.eu/" \h</w:instrText>
      </w:r>
      <w:r w:rsidR="000759BE">
        <w:fldChar w:fldCharType="separate"/>
      </w:r>
      <w:hyperlink w:history="1">
        <w:r w:rsidR="000759BE" w:rsidRPr="00A71065">
          <w:rPr>
            <w:rStyle w:val="ab"/>
            <w:snapToGrid w:val="0"/>
            <w:lang w:val="de-DE"/>
          </w:rPr>
          <w:t>https://www.ema.europa.eu</w:t>
        </w:r>
      </w:hyperlink>
      <w:r w:rsidRPr="001278B6">
        <w:rPr>
          <w:snapToGrid w:val="0"/>
          <w:lang w:val="da-DK"/>
        </w:rPr>
        <w:t>.</w:t>
      </w:r>
      <w:r w:rsidR="000759BE">
        <w:fldChar w:fldCharType="end"/>
      </w:r>
    </w:p>
    <w:p w14:paraId="3FA359B1" w14:textId="77777777" w:rsidR="003563EF" w:rsidRPr="001278B6" w:rsidRDefault="003563EF" w:rsidP="001278B6">
      <w:pPr>
        <w:pStyle w:val="a3"/>
        <w:widowControl/>
        <w:adjustRightInd w:val="0"/>
        <w:snapToGrid w:val="0"/>
        <w:rPr>
          <w:snapToGrid w:val="0"/>
          <w:lang w:val="da-DK"/>
        </w:rPr>
      </w:pPr>
    </w:p>
    <w:p w14:paraId="78B4A866" w14:textId="77777777" w:rsidR="003563EF" w:rsidRPr="001278B6" w:rsidRDefault="003563EF" w:rsidP="001278B6">
      <w:pPr>
        <w:pStyle w:val="a3"/>
        <w:widowControl/>
        <w:adjustRightInd w:val="0"/>
        <w:snapToGrid w:val="0"/>
        <w:rPr>
          <w:snapToGrid w:val="0"/>
          <w:lang w:val="da-DK"/>
        </w:rPr>
      </w:pPr>
    </w:p>
    <w:p w14:paraId="45AD4DBC" w14:textId="77777777" w:rsidR="003563EF" w:rsidRPr="001278B6" w:rsidRDefault="00473235" w:rsidP="0050387C">
      <w:pPr>
        <w:pStyle w:val="1"/>
        <w:keepNext/>
        <w:keepLines/>
        <w:widowControl/>
        <w:numPr>
          <w:ilvl w:val="0"/>
          <w:numId w:val="30"/>
        </w:numPr>
        <w:adjustRightInd w:val="0"/>
        <w:snapToGrid w:val="0"/>
        <w:ind w:left="567"/>
        <w:rPr>
          <w:snapToGrid w:val="0"/>
          <w:lang w:val="da-DK"/>
        </w:rPr>
      </w:pPr>
      <w:bookmarkStart w:id="7" w:name="D._BETINGELSER_ELLER_BEGRÆNSNINGER_MED_H"/>
      <w:bookmarkEnd w:id="7"/>
      <w:r w:rsidRPr="001278B6">
        <w:rPr>
          <w:snapToGrid w:val="0"/>
          <w:lang w:val="da-DK"/>
        </w:rPr>
        <w:lastRenderedPageBreak/>
        <w:t>BETINGELSER ELLER BEGRÆNSNINGER MED HENSYN TIL SIKKER OG EFFEKTIV ANVENDELSE AF LÆGEMIDLET</w:t>
      </w:r>
    </w:p>
    <w:p w14:paraId="248C08BB" w14:textId="77777777" w:rsidR="003563EF" w:rsidRPr="001278B6" w:rsidRDefault="003563EF" w:rsidP="001278B6">
      <w:pPr>
        <w:pStyle w:val="a3"/>
        <w:keepNext/>
        <w:keepLines/>
        <w:widowControl/>
        <w:adjustRightInd w:val="0"/>
        <w:snapToGrid w:val="0"/>
        <w:rPr>
          <w:b/>
          <w:snapToGrid w:val="0"/>
          <w:lang w:val="da-DK"/>
        </w:rPr>
      </w:pPr>
    </w:p>
    <w:p w14:paraId="2B37A2D6" w14:textId="77777777" w:rsidR="003563EF" w:rsidRPr="001278B6" w:rsidRDefault="00473235" w:rsidP="001278B6">
      <w:pPr>
        <w:pStyle w:val="2"/>
        <w:keepNext/>
        <w:keepLines/>
        <w:widowControl/>
        <w:numPr>
          <w:ilvl w:val="0"/>
          <w:numId w:val="14"/>
        </w:numPr>
        <w:adjustRightInd w:val="0"/>
        <w:snapToGrid w:val="0"/>
        <w:ind w:left="0" w:firstLine="0"/>
        <w:rPr>
          <w:snapToGrid w:val="0"/>
          <w:lang w:val="da-DK"/>
        </w:rPr>
      </w:pPr>
      <w:r w:rsidRPr="001278B6">
        <w:rPr>
          <w:snapToGrid w:val="0"/>
          <w:lang w:val="da-DK"/>
        </w:rPr>
        <w:t>Risikostyringsplan (RMP)</w:t>
      </w:r>
    </w:p>
    <w:p w14:paraId="106EA85D" w14:textId="77777777" w:rsidR="002125C4" w:rsidRDefault="002125C4" w:rsidP="001278B6">
      <w:pPr>
        <w:pStyle w:val="a3"/>
        <w:keepNext/>
        <w:keepLines/>
        <w:widowControl/>
        <w:adjustRightInd w:val="0"/>
        <w:snapToGrid w:val="0"/>
        <w:rPr>
          <w:snapToGrid w:val="0"/>
          <w:lang w:val="da-DK"/>
        </w:rPr>
      </w:pPr>
    </w:p>
    <w:p w14:paraId="003DA93E" w14:textId="77777777" w:rsidR="003563EF" w:rsidRPr="001278B6" w:rsidRDefault="00473235" w:rsidP="001278B6">
      <w:pPr>
        <w:pStyle w:val="a3"/>
        <w:widowControl/>
        <w:adjustRightInd w:val="0"/>
        <w:snapToGrid w:val="0"/>
        <w:rPr>
          <w:snapToGrid w:val="0"/>
          <w:lang w:val="da-DK"/>
        </w:rPr>
      </w:pPr>
      <w:r w:rsidRPr="001278B6">
        <w:rPr>
          <w:snapToGrid w:val="0"/>
          <w:lang w:val="da-DK"/>
        </w:rPr>
        <w:t>Indehaveren af markedsføringstilladelsen skal udføre de påkrævede aktiviteter og foranstaltninger vedrørende lægemiddelovervågning, som er beskrevet i den godkendte RMP, der fremgår af modul</w:t>
      </w:r>
      <w:r w:rsidR="00335B59">
        <w:rPr>
          <w:snapToGrid w:val="0"/>
          <w:lang w:val="da-DK"/>
        </w:rPr>
        <w:t xml:space="preserve"> 1.8.2 </w:t>
      </w:r>
      <w:r w:rsidRPr="001278B6">
        <w:rPr>
          <w:snapToGrid w:val="0"/>
          <w:lang w:val="da-DK"/>
        </w:rPr>
        <w:t>i markedsføringstilladelsen, og enhver efterfølgende godkendt opdatering af RMP.</w:t>
      </w:r>
    </w:p>
    <w:p w14:paraId="58925E81" w14:textId="77777777" w:rsidR="0079124A" w:rsidRPr="001278B6" w:rsidRDefault="0079124A" w:rsidP="001278B6">
      <w:pPr>
        <w:widowControl/>
        <w:adjustRightInd w:val="0"/>
        <w:snapToGrid w:val="0"/>
        <w:rPr>
          <w:snapToGrid w:val="0"/>
          <w:lang w:val="da-DK"/>
        </w:rPr>
      </w:pPr>
    </w:p>
    <w:p w14:paraId="02405070"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En opdateret RMP skal fremsendes:</w:t>
      </w:r>
    </w:p>
    <w:p w14:paraId="785A84D1" w14:textId="77777777" w:rsidR="003563EF" w:rsidRPr="001278B6" w:rsidRDefault="00473235" w:rsidP="00051658">
      <w:pPr>
        <w:pStyle w:val="Bullet1"/>
        <w:widowControl/>
        <w:tabs>
          <w:tab w:val="clear" w:pos="567"/>
        </w:tabs>
        <w:ind w:left="1134"/>
        <w:rPr>
          <w:lang w:val="da-DK"/>
        </w:rPr>
      </w:pPr>
      <w:r w:rsidRPr="001278B6">
        <w:rPr>
          <w:lang w:val="da-DK"/>
        </w:rPr>
        <w:t>på anmodning fra Det Europæiske Lægemiddelagentur</w:t>
      </w:r>
    </w:p>
    <w:p w14:paraId="43A6459B" w14:textId="77777777" w:rsidR="003563EF" w:rsidRPr="001278B6" w:rsidRDefault="00473235" w:rsidP="00051658">
      <w:pPr>
        <w:pStyle w:val="Bullet1"/>
        <w:widowControl/>
        <w:tabs>
          <w:tab w:val="clear" w:pos="567"/>
        </w:tabs>
        <w:ind w:left="1134"/>
        <w:rPr>
          <w:lang w:val="da-DK"/>
        </w:rPr>
      </w:pPr>
      <w:r w:rsidRPr="001278B6">
        <w:rPr>
          <w:lang w:val="da-DK"/>
        </w:rPr>
        <w:t>når risikostyringssystemet ændres, særlig som følge af, at der er modtaget nye oplysninger, der kan medføre en væsentlig ændring i benefit/risk</w:t>
      </w:r>
      <w:r w:rsidR="004B3750">
        <w:rPr>
          <w:lang w:val="da-DK"/>
        </w:rPr>
        <w:noBreakHyphen/>
      </w:r>
      <w:r w:rsidRPr="001278B6">
        <w:rPr>
          <w:lang w:val="da-DK"/>
        </w:rPr>
        <w:t>forholdet, eller som følge af, at en vigtig milepæl (lægemiddelovervågning eller risikominimering) er nået.</w:t>
      </w:r>
    </w:p>
    <w:p w14:paraId="5CC929A4" w14:textId="77777777" w:rsidR="0079124A" w:rsidRPr="001278B6" w:rsidRDefault="0079124A" w:rsidP="001278B6">
      <w:pPr>
        <w:widowControl/>
        <w:adjustRightInd w:val="0"/>
        <w:snapToGrid w:val="0"/>
        <w:rPr>
          <w:snapToGrid w:val="0"/>
          <w:lang w:val="da-DK"/>
        </w:rPr>
      </w:pPr>
    </w:p>
    <w:p w14:paraId="2C4F6CB8" w14:textId="77777777" w:rsidR="003563EF" w:rsidRPr="001278B6" w:rsidRDefault="0097192F" w:rsidP="001278B6">
      <w:pPr>
        <w:widowControl/>
        <w:rPr>
          <w:snapToGrid w:val="0"/>
          <w:lang w:val="da-DK"/>
        </w:rPr>
      </w:pPr>
      <w:r w:rsidRPr="001278B6">
        <w:rPr>
          <w:snapToGrid w:val="0"/>
          <w:lang w:val="da-DK"/>
        </w:rPr>
        <w:br w:type="page"/>
      </w:r>
    </w:p>
    <w:p w14:paraId="7E0A9725" w14:textId="77777777" w:rsidR="003563EF" w:rsidRPr="001278B6" w:rsidRDefault="003563EF" w:rsidP="001278B6">
      <w:pPr>
        <w:pStyle w:val="a3"/>
        <w:widowControl/>
        <w:adjustRightInd w:val="0"/>
        <w:snapToGrid w:val="0"/>
        <w:rPr>
          <w:snapToGrid w:val="0"/>
          <w:lang w:val="da-DK"/>
        </w:rPr>
      </w:pPr>
    </w:p>
    <w:p w14:paraId="77557181" w14:textId="77777777" w:rsidR="003563EF" w:rsidRPr="001278B6" w:rsidRDefault="003563EF" w:rsidP="001278B6">
      <w:pPr>
        <w:pStyle w:val="a3"/>
        <w:widowControl/>
        <w:adjustRightInd w:val="0"/>
        <w:snapToGrid w:val="0"/>
        <w:rPr>
          <w:snapToGrid w:val="0"/>
          <w:lang w:val="da-DK"/>
        </w:rPr>
      </w:pPr>
    </w:p>
    <w:p w14:paraId="23F066DD" w14:textId="77777777" w:rsidR="003563EF" w:rsidRPr="001278B6" w:rsidRDefault="003563EF" w:rsidP="001278B6">
      <w:pPr>
        <w:pStyle w:val="a3"/>
        <w:widowControl/>
        <w:adjustRightInd w:val="0"/>
        <w:snapToGrid w:val="0"/>
        <w:rPr>
          <w:snapToGrid w:val="0"/>
          <w:lang w:val="da-DK"/>
        </w:rPr>
      </w:pPr>
    </w:p>
    <w:p w14:paraId="58A6EFA5" w14:textId="77777777" w:rsidR="003563EF" w:rsidRPr="001278B6" w:rsidRDefault="003563EF" w:rsidP="001278B6">
      <w:pPr>
        <w:pStyle w:val="a3"/>
        <w:widowControl/>
        <w:adjustRightInd w:val="0"/>
        <w:snapToGrid w:val="0"/>
        <w:rPr>
          <w:snapToGrid w:val="0"/>
          <w:lang w:val="da-DK"/>
        </w:rPr>
      </w:pPr>
    </w:p>
    <w:p w14:paraId="17447219" w14:textId="77777777" w:rsidR="003563EF" w:rsidRPr="001278B6" w:rsidRDefault="003563EF" w:rsidP="001278B6">
      <w:pPr>
        <w:pStyle w:val="a3"/>
        <w:widowControl/>
        <w:adjustRightInd w:val="0"/>
        <w:snapToGrid w:val="0"/>
        <w:rPr>
          <w:snapToGrid w:val="0"/>
          <w:lang w:val="da-DK"/>
        </w:rPr>
      </w:pPr>
    </w:p>
    <w:p w14:paraId="37D9E4CD" w14:textId="77777777" w:rsidR="003563EF" w:rsidRPr="001278B6" w:rsidRDefault="003563EF" w:rsidP="001278B6">
      <w:pPr>
        <w:pStyle w:val="a3"/>
        <w:widowControl/>
        <w:adjustRightInd w:val="0"/>
        <w:snapToGrid w:val="0"/>
        <w:rPr>
          <w:snapToGrid w:val="0"/>
          <w:lang w:val="da-DK"/>
        </w:rPr>
      </w:pPr>
    </w:p>
    <w:p w14:paraId="3D2B5D65" w14:textId="77777777" w:rsidR="003563EF" w:rsidRPr="001278B6" w:rsidRDefault="003563EF" w:rsidP="001278B6">
      <w:pPr>
        <w:pStyle w:val="a3"/>
        <w:widowControl/>
        <w:adjustRightInd w:val="0"/>
        <w:snapToGrid w:val="0"/>
        <w:rPr>
          <w:snapToGrid w:val="0"/>
          <w:lang w:val="da-DK"/>
        </w:rPr>
      </w:pPr>
    </w:p>
    <w:p w14:paraId="43AACC20" w14:textId="77777777" w:rsidR="003563EF" w:rsidRPr="001278B6" w:rsidRDefault="003563EF" w:rsidP="001278B6">
      <w:pPr>
        <w:pStyle w:val="a3"/>
        <w:widowControl/>
        <w:adjustRightInd w:val="0"/>
        <w:snapToGrid w:val="0"/>
        <w:rPr>
          <w:snapToGrid w:val="0"/>
          <w:lang w:val="da-DK"/>
        </w:rPr>
      </w:pPr>
    </w:p>
    <w:p w14:paraId="0A65B8B3" w14:textId="77777777" w:rsidR="003563EF" w:rsidRPr="001278B6" w:rsidRDefault="003563EF" w:rsidP="001278B6">
      <w:pPr>
        <w:pStyle w:val="a3"/>
        <w:widowControl/>
        <w:adjustRightInd w:val="0"/>
        <w:snapToGrid w:val="0"/>
        <w:rPr>
          <w:snapToGrid w:val="0"/>
          <w:lang w:val="da-DK"/>
        </w:rPr>
      </w:pPr>
    </w:p>
    <w:p w14:paraId="7B6B7308" w14:textId="77777777" w:rsidR="003563EF" w:rsidRPr="001278B6" w:rsidRDefault="003563EF" w:rsidP="001278B6">
      <w:pPr>
        <w:pStyle w:val="a3"/>
        <w:widowControl/>
        <w:adjustRightInd w:val="0"/>
        <w:snapToGrid w:val="0"/>
        <w:rPr>
          <w:snapToGrid w:val="0"/>
          <w:lang w:val="da-DK"/>
        </w:rPr>
      </w:pPr>
    </w:p>
    <w:p w14:paraId="6428E919" w14:textId="77777777" w:rsidR="003563EF" w:rsidRPr="001278B6" w:rsidRDefault="003563EF" w:rsidP="001278B6">
      <w:pPr>
        <w:pStyle w:val="a3"/>
        <w:widowControl/>
        <w:adjustRightInd w:val="0"/>
        <w:snapToGrid w:val="0"/>
        <w:rPr>
          <w:snapToGrid w:val="0"/>
          <w:lang w:val="da-DK"/>
        </w:rPr>
      </w:pPr>
    </w:p>
    <w:p w14:paraId="10835334" w14:textId="77777777" w:rsidR="003563EF" w:rsidRPr="001278B6" w:rsidRDefault="003563EF" w:rsidP="001278B6">
      <w:pPr>
        <w:pStyle w:val="a3"/>
        <w:widowControl/>
        <w:adjustRightInd w:val="0"/>
        <w:snapToGrid w:val="0"/>
        <w:rPr>
          <w:snapToGrid w:val="0"/>
          <w:lang w:val="da-DK"/>
        </w:rPr>
      </w:pPr>
    </w:p>
    <w:p w14:paraId="191BB3AE" w14:textId="77777777" w:rsidR="003563EF" w:rsidRPr="001278B6" w:rsidRDefault="003563EF" w:rsidP="001278B6">
      <w:pPr>
        <w:pStyle w:val="a3"/>
        <w:widowControl/>
        <w:adjustRightInd w:val="0"/>
        <w:snapToGrid w:val="0"/>
        <w:rPr>
          <w:snapToGrid w:val="0"/>
          <w:lang w:val="da-DK"/>
        </w:rPr>
      </w:pPr>
    </w:p>
    <w:p w14:paraId="56C8E01E" w14:textId="77777777" w:rsidR="003563EF" w:rsidRPr="001278B6" w:rsidRDefault="003563EF" w:rsidP="001278B6">
      <w:pPr>
        <w:pStyle w:val="a3"/>
        <w:widowControl/>
        <w:adjustRightInd w:val="0"/>
        <w:snapToGrid w:val="0"/>
        <w:rPr>
          <w:snapToGrid w:val="0"/>
          <w:lang w:val="da-DK"/>
        </w:rPr>
      </w:pPr>
    </w:p>
    <w:p w14:paraId="734ACACB" w14:textId="77777777" w:rsidR="003563EF" w:rsidRPr="001278B6" w:rsidRDefault="003563EF" w:rsidP="001278B6">
      <w:pPr>
        <w:pStyle w:val="a3"/>
        <w:widowControl/>
        <w:adjustRightInd w:val="0"/>
        <w:snapToGrid w:val="0"/>
        <w:rPr>
          <w:snapToGrid w:val="0"/>
          <w:lang w:val="da-DK"/>
        </w:rPr>
      </w:pPr>
    </w:p>
    <w:p w14:paraId="1752BD2B" w14:textId="77777777" w:rsidR="003563EF" w:rsidRPr="001278B6" w:rsidRDefault="003563EF" w:rsidP="001278B6">
      <w:pPr>
        <w:pStyle w:val="a3"/>
        <w:widowControl/>
        <w:adjustRightInd w:val="0"/>
        <w:snapToGrid w:val="0"/>
        <w:rPr>
          <w:snapToGrid w:val="0"/>
          <w:lang w:val="da-DK"/>
        </w:rPr>
      </w:pPr>
    </w:p>
    <w:p w14:paraId="5C2FD1FE" w14:textId="77777777" w:rsidR="003563EF" w:rsidRPr="001278B6" w:rsidRDefault="003563EF" w:rsidP="001278B6">
      <w:pPr>
        <w:pStyle w:val="a3"/>
        <w:widowControl/>
        <w:adjustRightInd w:val="0"/>
        <w:snapToGrid w:val="0"/>
        <w:rPr>
          <w:snapToGrid w:val="0"/>
          <w:lang w:val="da-DK"/>
        </w:rPr>
      </w:pPr>
    </w:p>
    <w:p w14:paraId="3197E008" w14:textId="77777777" w:rsidR="003563EF" w:rsidRPr="001278B6" w:rsidRDefault="003563EF" w:rsidP="001278B6">
      <w:pPr>
        <w:pStyle w:val="a3"/>
        <w:widowControl/>
        <w:adjustRightInd w:val="0"/>
        <w:snapToGrid w:val="0"/>
        <w:rPr>
          <w:snapToGrid w:val="0"/>
          <w:lang w:val="da-DK"/>
        </w:rPr>
      </w:pPr>
    </w:p>
    <w:p w14:paraId="2A7A55D2" w14:textId="77777777" w:rsidR="003563EF" w:rsidRPr="001278B6" w:rsidRDefault="003563EF" w:rsidP="001278B6">
      <w:pPr>
        <w:pStyle w:val="a3"/>
        <w:widowControl/>
        <w:adjustRightInd w:val="0"/>
        <w:snapToGrid w:val="0"/>
        <w:rPr>
          <w:snapToGrid w:val="0"/>
          <w:lang w:val="da-DK"/>
        </w:rPr>
      </w:pPr>
    </w:p>
    <w:p w14:paraId="323B14A2" w14:textId="77777777" w:rsidR="003563EF" w:rsidRPr="001278B6" w:rsidRDefault="003563EF" w:rsidP="001278B6">
      <w:pPr>
        <w:pStyle w:val="a3"/>
        <w:widowControl/>
        <w:adjustRightInd w:val="0"/>
        <w:snapToGrid w:val="0"/>
        <w:rPr>
          <w:snapToGrid w:val="0"/>
          <w:lang w:val="da-DK"/>
        </w:rPr>
      </w:pPr>
    </w:p>
    <w:p w14:paraId="1F935F4C" w14:textId="77777777" w:rsidR="003563EF" w:rsidRPr="001278B6" w:rsidRDefault="003563EF" w:rsidP="001278B6">
      <w:pPr>
        <w:pStyle w:val="a3"/>
        <w:widowControl/>
        <w:adjustRightInd w:val="0"/>
        <w:snapToGrid w:val="0"/>
        <w:rPr>
          <w:snapToGrid w:val="0"/>
          <w:lang w:val="da-DK"/>
        </w:rPr>
      </w:pPr>
    </w:p>
    <w:p w14:paraId="73BBB548" w14:textId="77777777" w:rsidR="003563EF" w:rsidRPr="001278B6" w:rsidRDefault="003563EF" w:rsidP="001278B6">
      <w:pPr>
        <w:pStyle w:val="a3"/>
        <w:widowControl/>
        <w:adjustRightInd w:val="0"/>
        <w:snapToGrid w:val="0"/>
        <w:rPr>
          <w:snapToGrid w:val="0"/>
          <w:lang w:val="da-DK"/>
        </w:rPr>
      </w:pPr>
    </w:p>
    <w:p w14:paraId="032680B9" w14:textId="68B4F3B1" w:rsidR="00DF0B36" w:rsidRPr="00747393" w:rsidRDefault="00473235" w:rsidP="00747393">
      <w:pPr>
        <w:jc w:val="center"/>
        <w:rPr>
          <w:b/>
          <w:bCs/>
          <w:snapToGrid w:val="0"/>
          <w:lang w:val="da-DK"/>
        </w:rPr>
      </w:pPr>
      <w:r w:rsidRPr="00747393">
        <w:rPr>
          <w:b/>
          <w:bCs/>
          <w:snapToGrid w:val="0"/>
          <w:lang w:val="da-DK"/>
        </w:rPr>
        <w:t>BILAG III</w:t>
      </w:r>
    </w:p>
    <w:p w14:paraId="7724EC88" w14:textId="77777777" w:rsidR="00DF0B36" w:rsidRDefault="00DF0B36" w:rsidP="00747393">
      <w:pPr>
        <w:rPr>
          <w:snapToGrid w:val="0"/>
          <w:lang w:val="da-DK"/>
        </w:rPr>
      </w:pPr>
    </w:p>
    <w:p w14:paraId="5E930781" w14:textId="77777777" w:rsidR="003563EF" w:rsidRPr="001278B6" w:rsidRDefault="00473235" w:rsidP="00747393">
      <w:pPr>
        <w:jc w:val="center"/>
        <w:rPr>
          <w:snapToGrid w:val="0"/>
          <w:lang w:val="da-DK"/>
        </w:rPr>
      </w:pPr>
      <w:r w:rsidRPr="001278B6">
        <w:rPr>
          <w:snapToGrid w:val="0"/>
          <w:lang w:val="da-DK"/>
        </w:rPr>
        <w:t>ETIKETTERING OG INDLÆGSSEDDEL</w:t>
      </w:r>
    </w:p>
    <w:p w14:paraId="4993D893" w14:textId="77777777" w:rsidR="003563EF" w:rsidRPr="001278B6" w:rsidRDefault="0097192F" w:rsidP="001278B6">
      <w:pPr>
        <w:widowControl/>
        <w:rPr>
          <w:b/>
          <w:snapToGrid w:val="0"/>
          <w:lang w:val="da-DK"/>
        </w:rPr>
      </w:pPr>
      <w:r w:rsidRPr="001278B6">
        <w:rPr>
          <w:snapToGrid w:val="0"/>
          <w:lang w:val="da-DK"/>
        </w:rPr>
        <w:br w:type="page"/>
      </w:r>
    </w:p>
    <w:p w14:paraId="47E84AC8" w14:textId="77777777" w:rsidR="003563EF" w:rsidRPr="001278B6" w:rsidRDefault="003563EF" w:rsidP="001278B6">
      <w:pPr>
        <w:pStyle w:val="a3"/>
        <w:widowControl/>
        <w:adjustRightInd w:val="0"/>
        <w:snapToGrid w:val="0"/>
        <w:rPr>
          <w:b/>
          <w:snapToGrid w:val="0"/>
          <w:lang w:val="da-DK"/>
        </w:rPr>
      </w:pPr>
    </w:p>
    <w:p w14:paraId="3589AA28" w14:textId="77777777" w:rsidR="003563EF" w:rsidRPr="001278B6" w:rsidRDefault="003563EF" w:rsidP="001278B6">
      <w:pPr>
        <w:pStyle w:val="a3"/>
        <w:widowControl/>
        <w:adjustRightInd w:val="0"/>
        <w:snapToGrid w:val="0"/>
        <w:rPr>
          <w:b/>
          <w:snapToGrid w:val="0"/>
          <w:lang w:val="da-DK"/>
        </w:rPr>
      </w:pPr>
    </w:p>
    <w:p w14:paraId="7D518FA7" w14:textId="77777777" w:rsidR="003563EF" w:rsidRPr="001278B6" w:rsidRDefault="003563EF" w:rsidP="001278B6">
      <w:pPr>
        <w:pStyle w:val="a3"/>
        <w:widowControl/>
        <w:adjustRightInd w:val="0"/>
        <w:snapToGrid w:val="0"/>
        <w:rPr>
          <w:b/>
          <w:snapToGrid w:val="0"/>
          <w:lang w:val="da-DK"/>
        </w:rPr>
      </w:pPr>
    </w:p>
    <w:p w14:paraId="3D00F2AD" w14:textId="77777777" w:rsidR="003563EF" w:rsidRPr="001278B6" w:rsidRDefault="003563EF" w:rsidP="001278B6">
      <w:pPr>
        <w:pStyle w:val="a3"/>
        <w:widowControl/>
        <w:adjustRightInd w:val="0"/>
        <w:snapToGrid w:val="0"/>
        <w:rPr>
          <w:b/>
          <w:snapToGrid w:val="0"/>
          <w:lang w:val="da-DK"/>
        </w:rPr>
      </w:pPr>
    </w:p>
    <w:p w14:paraId="686ABE2C" w14:textId="77777777" w:rsidR="003563EF" w:rsidRPr="001278B6" w:rsidRDefault="003563EF" w:rsidP="001278B6">
      <w:pPr>
        <w:pStyle w:val="a3"/>
        <w:widowControl/>
        <w:adjustRightInd w:val="0"/>
        <w:snapToGrid w:val="0"/>
        <w:rPr>
          <w:b/>
          <w:snapToGrid w:val="0"/>
          <w:lang w:val="da-DK"/>
        </w:rPr>
      </w:pPr>
    </w:p>
    <w:p w14:paraId="620E8A54" w14:textId="77777777" w:rsidR="003563EF" w:rsidRPr="001278B6" w:rsidRDefault="003563EF" w:rsidP="001278B6">
      <w:pPr>
        <w:pStyle w:val="a3"/>
        <w:widowControl/>
        <w:adjustRightInd w:val="0"/>
        <w:snapToGrid w:val="0"/>
        <w:rPr>
          <w:b/>
          <w:snapToGrid w:val="0"/>
          <w:lang w:val="da-DK"/>
        </w:rPr>
      </w:pPr>
    </w:p>
    <w:p w14:paraId="62DDAB61" w14:textId="77777777" w:rsidR="003563EF" w:rsidRPr="001278B6" w:rsidRDefault="003563EF" w:rsidP="001278B6">
      <w:pPr>
        <w:pStyle w:val="a3"/>
        <w:widowControl/>
        <w:adjustRightInd w:val="0"/>
        <w:snapToGrid w:val="0"/>
        <w:rPr>
          <w:b/>
          <w:snapToGrid w:val="0"/>
          <w:lang w:val="da-DK"/>
        </w:rPr>
      </w:pPr>
    </w:p>
    <w:p w14:paraId="6D049388" w14:textId="77777777" w:rsidR="003563EF" w:rsidRPr="001278B6" w:rsidRDefault="003563EF" w:rsidP="001278B6">
      <w:pPr>
        <w:pStyle w:val="a3"/>
        <w:widowControl/>
        <w:adjustRightInd w:val="0"/>
        <w:snapToGrid w:val="0"/>
        <w:rPr>
          <w:b/>
          <w:snapToGrid w:val="0"/>
          <w:lang w:val="da-DK"/>
        </w:rPr>
      </w:pPr>
    </w:p>
    <w:p w14:paraId="639CCCCD" w14:textId="77777777" w:rsidR="003563EF" w:rsidRPr="001278B6" w:rsidRDefault="003563EF" w:rsidP="001278B6">
      <w:pPr>
        <w:pStyle w:val="a3"/>
        <w:widowControl/>
        <w:adjustRightInd w:val="0"/>
        <w:snapToGrid w:val="0"/>
        <w:rPr>
          <w:b/>
          <w:snapToGrid w:val="0"/>
          <w:lang w:val="da-DK"/>
        </w:rPr>
      </w:pPr>
    </w:p>
    <w:p w14:paraId="1169D32E" w14:textId="77777777" w:rsidR="003563EF" w:rsidRPr="001278B6" w:rsidRDefault="003563EF" w:rsidP="001278B6">
      <w:pPr>
        <w:pStyle w:val="a3"/>
        <w:widowControl/>
        <w:adjustRightInd w:val="0"/>
        <w:snapToGrid w:val="0"/>
        <w:rPr>
          <w:b/>
          <w:snapToGrid w:val="0"/>
          <w:lang w:val="da-DK"/>
        </w:rPr>
      </w:pPr>
    </w:p>
    <w:p w14:paraId="23D7451C" w14:textId="77777777" w:rsidR="003563EF" w:rsidRPr="001278B6" w:rsidRDefault="003563EF" w:rsidP="001278B6">
      <w:pPr>
        <w:pStyle w:val="a3"/>
        <w:widowControl/>
        <w:adjustRightInd w:val="0"/>
        <w:snapToGrid w:val="0"/>
        <w:rPr>
          <w:b/>
          <w:snapToGrid w:val="0"/>
          <w:lang w:val="da-DK"/>
        </w:rPr>
      </w:pPr>
    </w:p>
    <w:p w14:paraId="1482FBE5" w14:textId="77777777" w:rsidR="003563EF" w:rsidRPr="001278B6" w:rsidRDefault="003563EF" w:rsidP="001278B6">
      <w:pPr>
        <w:pStyle w:val="a3"/>
        <w:widowControl/>
        <w:adjustRightInd w:val="0"/>
        <w:snapToGrid w:val="0"/>
        <w:rPr>
          <w:b/>
          <w:snapToGrid w:val="0"/>
          <w:lang w:val="da-DK"/>
        </w:rPr>
      </w:pPr>
    </w:p>
    <w:p w14:paraId="000646EE" w14:textId="77777777" w:rsidR="003563EF" w:rsidRPr="001278B6" w:rsidRDefault="003563EF" w:rsidP="001278B6">
      <w:pPr>
        <w:pStyle w:val="a3"/>
        <w:widowControl/>
        <w:adjustRightInd w:val="0"/>
        <w:snapToGrid w:val="0"/>
        <w:rPr>
          <w:b/>
          <w:snapToGrid w:val="0"/>
          <w:lang w:val="da-DK"/>
        </w:rPr>
      </w:pPr>
    </w:p>
    <w:p w14:paraId="0BDBB78F" w14:textId="77777777" w:rsidR="003563EF" w:rsidRPr="001278B6" w:rsidRDefault="003563EF" w:rsidP="001278B6">
      <w:pPr>
        <w:pStyle w:val="a3"/>
        <w:widowControl/>
        <w:adjustRightInd w:val="0"/>
        <w:snapToGrid w:val="0"/>
        <w:rPr>
          <w:b/>
          <w:snapToGrid w:val="0"/>
          <w:lang w:val="da-DK"/>
        </w:rPr>
      </w:pPr>
    </w:p>
    <w:p w14:paraId="071DAB0B" w14:textId="77777777" w:rsidR="003563EF" w:rsidRPr="001278B6" w:rsidRDefault="003563EF" w:rsidP="001278B6">
      <w:pPr>
        <w:pStyle w:val="a3"/>
        <w:widowControl/>
        <w:adjustRightInd w:val="0"/>
        <w:snapToGrid w:val="0"/>
        <w:rPr>
          <w:b/>
          <w:snapToGrid w:val="0"/>
          <w:lang w:val="da-DK"/>
        </w:rPr>
      </w:pPr>
    </w:p>
    <w:p w14:paraId="183767B6" w14:textId="77777777" w:rsidR="003563EF" w:rsidRPr="001278B6" w:rsidRDefault="003563EF" w:rsidP="001278B6">
      <w:pPr>
        <w:pStyle w:val="a3"/>
        <w:widowControl/>
        <w:adjustRightInd w:val="0"/>
        <w:snapToGrid w:val="0"/>
        <w:rPr>
          <w:b/>
          <w:snapToGrid w:val="0"/>
          <w:lang w:val="da-DK"/>
        </w:rPr>
      </w:pPr>
    </w:p>
    <w:p w14:paraId="20926091" w14:textId="77777777" w:rsidR="003563EF" w:rsidRPr="001278B6" w:rsidRDefault="003563EF" w:rsidP="001278B6">
      <w:pPr>
        <w:pStyle w:val="a3"/>
        <w:widowControl/>
        <w:adjustRightInd w:val="0"/>
        <w:snapToGrid w:val="0"/>
        <w:rPr>
          <w:b/>
          <w:snapToGrid w:val="0"/>
          <w:lang w:val="da-DK"/>
        </w:rPr>
      </w:pPr>
    </w:p>
    <w:p w14:paraId="2A8F6BD8" w14:textId="77777777" w:rsidR="003563EF" w:rsidRPr="001278B6" w:rsidRDefault="003563EF" w:rsidP="001278B6">
      <w:pPr>
        <w:pStyle w:val="a3"/>
        <w:widowControl/>
        <w:adjustRightInd w:val="0"/>
        <w:snapToGrid w:val="0"/>
        <w:rPr>
          <w:b/>
          <w:snapToGrid w:val="0"/>
          <w:lang w:val="da-DK"/>
        </w:rPr>
      </w:pPr>
    </w:p>
    <w:p w14:paraId="5B290493" w14:textId="77777777" w:rsidR="003563EF" w:rsidRPr="001278B6" w:rsidRDefault="003563EF" w:rsidP="001278B6">
      <w:pPr>
        <w:pStyle w:val="a3"/>
        <w:widowControl/>
        <w:adjustRightInd w:val="0"/>
        <w:snapToGrid w:val="0"/>
        <w:rPr>
          <w:b/>
          <w:snapToGrid w:val="0"/>
          <w:lang w:val="da-DK"/>
        </w:rPr>
      </w:pPr>
    </w:p>
    <w:p w14:paraId="4FA163B4" w14:textId="77777777" w:rsidR="003563EF" w:rsidRPr="001278B6" w:rsidRDefault="003563EF" w:rsidP="001278B6">
      <w:pPr>
        <w:pStyle w:val="a3"/>
        <w:widowControl/>
        <w:adjustRightInd w:val="0"/>
        <w:snapToGrid w:val="0"/>
        <w:rPr>
          <w:b/>
          <w:snapToGrid w:val="0"/>
          <w:lang w:val="da-DK"/>
        </w:rPr>
      </w:pPr>
    </w:p>
    <w:p w14:paraId="7D7AC43B" w14:textId="77777777" w:rsidR="003563EF" w:rsidRPr="001278B6" w:rsidRDefault="003563EF" w:rsidP="001278B6">
      <w:pPr>
        <w:pStyle w:val="a3"/>
        <w:widowControl/>
        <w:adjustRightInd w:val="0"/>
        <w:snapToGrid w:val="0"/>
        <w:rPr>
          <w:b/>
          <w:snapToGrid w:val="0"/>
          <w:lang w:val="da-DK"/>
        </w:rPr>
      </w:pPr>
    </w:p>
    <w:p w14:paraId="69C71573" w14:textId="77777777" w:rsidR="003563EF" w:rsidRPr="001278B6" w:rsidRDefault="003563EF" w:rsidP="001278B6">
      <w:pPr>
        <w:pStyle w:val="a3"/>
        <w:widowControl/>
        <w:adjustRightInd w:val="0"/>
        <w:snapToGrid w:val="0"/>
        <w:rPr>
          <w:b/>
          <w:snapToGrid w:val="0"/>
          <w:lang w:val="da-DK"/>
        </w:rPr>
      </w:pPr>
    </w:p>
    <w:p w14:paraId="158ECD19" w14:textId="77777777" w:rsidR="003563EF" w:rsidRPr="001278B6" w:rsidRDefault="00312764" w:rsidP="0050387C">
      <w:pPr>
        <w:pStyle w:val="1"/>
        <w:widowControl/>
        <w:adjustRightInd w:val="0"/>
        <w:snapToGrid w:val="0"/>
        <w:ind w:left="0"/>
        <w:jc w:val="center"/>
        <w:rPr>
          <w:b w:val="0"/>
          <w:snapToGrid w:val="0"/>
          <w:lang w:val="da-DK"/>
        </w:rPr>
      </w:pPr>
      <w:bookmarkStart w:id="8" w:name="A._ETIKETTERING"/>
      <w:bookmarkEnd w:id="8"/>
      <w:r>
        <w:rPr>
          <w:snapToGrid w:val="0"/>
          <w:lang w:val="da-DK"/>
        </w:rPr>
        <w:t xml:space="preserve">A. </w:t>
      </w:r>
      <w:r w:rsidR="00473235" w:rsidRPr="001278B6">
        <w:rPr>
          <w:snapToGrid w:val="0"/>
          <w:lang w:val="da-DK"/>
        </w:rPr>
        <w:t>ETIKETTERING</w:t>
      </w:r>
    </w:p>
    <w:p w14:paraId="225EF646" w14:textId="77777777" w:rsidR="009A1720" w:rsidRPr="001278B6" w:rsidRDefault="0097192F" w:rsidP="001278B6">
      <w:pPr>
        <w:widowControl/>
        <w:pBdr>
          <w:top w:val="single" w:sz="4" w:space="1" w:color="auto"/>
          <w:left w:val="single" w:sz="4" w:space="4" w:color="auto"/>
          <w:bottom w:val="single" w:sz="4" w:space="1" w:color="auto"/>
          <w:right w:val="single" w:sz="4" w:space="4" w:color="auto"/>
        </w:pBdr>
        <w:spacing w:before="1"/>
        <w:rPr>
          <w:b/>
          <w:lang w:val="da-DK"/>
        </w:rPr>
      </w:pPr>
      <w:r w:rsidRPr="001278B6">
        <w:rPr>
          <w:snapToGrid w:val="0"/>
          <w:lang w:val="da-DK"/>
        </w:rPr>
        <w:br w:type="page"/>
      </w:r>
      <w:r w:rsidR="009A1720" w:rsidRPr="001278B6">
        <w:rPr>
          <w:b/>
          <w:lang w:val="da-DK"/>
        </w:rPr>
        <w:lastRenderedPageBreak/>
        <w:t>MÆRKNING,</w:t>
      </w:r>
      <w:r w:rsidR="009A1720" w:rsidRPr="001278B6">
        <w:rPr>
          <w:b/>
          <w:spacing w:val="-6"/>
          <w:lang w:val="da-DK"/>
        </w:rPr>
        <w:t xml:space="preserve"> </w:t>
      </w:r>
      <w:r w:rsidR="009A1720" w:rsidRPr="001278B6">
        <w:rPr>
          <w:b/>
          <w:lang w:val="da-DK"/>
        </w:rPr>
        <w:t>DER</w:t>
      </w:r>
      <w:r w:rsidR="009A1720" w:rsidRPr="001278B6">
        <w:rPr>
          <w:b/>
          <w:spacing w:val="-5"/>
          <w:lang w:val="da-DK"/>
        </w:rPr>
        <w:t xml:space="preserve"> </w:t>
      </w:r>
      <w:r w:rsidR="009A1720" w:rsidRPr="001278B6">
        <w:rPr>
          <w:b/>
          <w:lang w:val="da-DK"/>
        </w:rPr>
        <w:t>SKAL</w:t>
      </w:r>
      <w:r w:rsidR="009A1720" w:rsidRPr="001278B6">
        <w:rPr>
          <w:b/>
          <w:spacing w:val="-5"/>
          <w:lang w:val="da-DK"/>
        </w:rPr>
        <w:t xml:space="preserve"> </w:t>
      </w:r>
      <w:r w:rsidR="009A1720" w:rsidRPr="001278B6">
        <w:rPr>
          <w:b/>
          <w:lang w:val="da-DK"/>
        </w:rPr>
        <w:t>ANFØRES</w:t>
      </w:r>
      <w:r w:rsidR="009A1720" w:rsidRPr="001278B6">
        <w:rPr>
          <w:b/>
          <w:spacing w:val="-7"/>
          <w:lang w:val="da-DK"/>
        </w:rPr>
        <w:t xml:space="preserve"> </w:t>
      </w:r>
      <w:r w:rsidR="009A1720" w:rsidRPr="001278B6">
        <w:rPr>
          <w:b/>
          <w:lang w:val="da-DK"/>
        </w:rPr>
        <w:t>PÅ</w:t>
      </w:r>
      <w:r w:rsidR="009A1720" w:rsidRPr="001278B6">
        <w:rPr>
          <w:b/>
          <w:spacing w:val="-5"/>
          <w:lang w:val="da-DK"/>
        </w:rPr>
        <w:t xml:space="preserve"> </w:t>
      </w:r>
      <w:r w:rsidR="009A1720" w:rsidRPr="001278B6">
        <w:rPr>
          <w:b/>
          <w:lang w:val="da-DK"/>
        </w:rPr>
        <w:t>DEN</w:t>
      </w:r>
      <w:r w:rsidR="009A1720" w:rsidRPr="001278B6">
        <w:rPr>
          <w:b/>
          <w:spacing w:val="-5"/>
          <w:lang w:val="da-DK"/>
        </w:rPr>
        <w:t xml:space="preserve"> </w:t>
      </w:r>
      <w:r w:rsidR="009A1720" w:rsidRPr="001278B6">
        <w:rPr>
          <w:b/>
          <w:lang w:val="da-DK"/>
        </w:rPr>
        <w:t>YDRE</w:t>
      </w:r>
      <w:r w:rsidR="009A1720" w:rsidRPr="001278B6">
        <w:rPr>
          <w:b/>
          <w:spacing w:val="-4"/>
          <w:lang w:val="da-DK"/>
        </w:rPr>
        <w:t xml:space="preserve"> </w:t>
      </w:r>
      <w:r w:rsidR="009A1720" w:rsidRPr="001278B6">
        <w:rPr>
          <w:b/>
          <w:spacing w:val="-2"/>
          <w:lang w:val="da-DK"/>
        </w:rPr>
        <w:t>EMBALLAGE</w:t>
      </w:r>
    </w:p>
    <w:p w14:paraId="301AAC21" w14:textId="77777777" w:rsidR="009A1720" w:rsidRPr="001278B6" w:rsidRDefault="009A1720" w:rsidP="001278B6">
      <w:pPr>
        <w:pStyle w:val="a3"/>
        <w:widowControl/>
        <w:pBdr>
          <w:top w:val="single" w:sz="4" w:space="1" w:color="auto"/>
          <w:left w:val="single" w:sz="4" w:space="4" w:color="auto"/>
          <w:bottom w:val="single" w:sz="4" w:space="1" w:color="auto"/>
          <w:right w:val="single" w:sz="4" w:space="4" w:color="auto"/>
        </w:pBdr>
        <w:spacing w:before="9"/>
        <w:rPr>
          <w:b/>
          <w:sz w:val="21"/>
          <w:lang w:val="da-DK"/>
        </w:rPr>
      </w:pPr>
    </w:p>
    <w:p w14:paraId="0A4A3985" w14:textId="77777777" w:rsidR="009A1720" w:rsidRPr="001278B6" w:rsidRDefault="009A1720" w:rsidP="001278B6">
      <w:pPr>
        <w:widowControl/>
        <w:pBdr>
          <w:top w:val="single" w:sz="4" w:space="1" w:color="auto"/>
          <w:left w:val="single" w:sz="4" w:space="4" w:color="auto"/>
          <w:bottom w:val="single" w:sz="4" w:space="1" w:color="auto"/>
          <w:right w:val="single" w:sz="4" w:space="4" w:color="auto"/>
        </w:pBdr>
        <w:rPr>
          <w:b/>
          <w:lang w:val="da-DK"/>
        </w:rPr>
      </w:pPr>
      <w:r w:rsidRPr="001278B6">
        <w:rPr>
          <w:b/>
          <w:spacing w:val="-2"/>
          <w:lang w:val="da-DK"/>
        </w:rPr>
        <w:t>KARTON</w:t>
      </w:r>
    </w:p>
    <w:p w14:paraId="5C8D5A63" w14:textId="77777777" w:rsidR="003563EF" w:rsidRPr="001278B6" w:rsidRDefault="003563EF" w:rsidP="001278B6">
      <w:pPr>
        <w:pStyle w:val="a3"/>
        <w:widowControl/>
        <w:adjustRightInd w:val="0"/>
        <w:snapToGrid w:val="0"/>
        <w:rPr>
          <w:snapToGrid w:val="0"/>
          <w:lang w:val="da-DK"/>
        </w:rPr>
      </w:pPr>
    </w:p>
    <w:p w14:paraId="35D17536" w14:textId="77777777" w:rsidR="003563EF" w:rsidRPr="001278B6" w:rsidRDefault="003563EF" w:rsidP="001278B6">
      <w:pPr>
        <w:pStyle w:val="a3"/>
        <w:widowControl/>
        <w:adjustRightInd w:val="0"/>
        <w:snapToGrid w:val="0"/>
        <w:rPr>
          <w:b/>
          <w:snapToGrid w:val="0"/>
          <w:lang w:val="da-DK"/>
        </w:rPr>
      </w:pPr>
    </w:p>
    <w:p w14:paraId="3F8A6C03" w14:textId="77777777" w:rsidR="003563EF" w:rsidRPr="001278B6" w:rsidRDefault="009A1720"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w:t>
      </w:r>
      <w:r w:rsidRPr="001278B6">
        <w:rPr>
          <w:b/>
          <w:lang w:val="da-DK"/>
        </w:rPr>
        <w:tab/>
        <w:t>LÆGEMIDLETS</w:t>
      </w:r>
      <w:r w:rsidRPr="001278B6">
        <w:rPr>
          <w:b/>
          <w:spacing w:val="-10"/>
          <w:lang w:val="da-DK"/>
        </w:rPr>
        <w:t xml:space="preserve"> </w:t>
      </w:r>
      <w:r w:rsidRPr="001278B6">
        <w:rPr>
          <w:b/>
          <w:spacing w:val="-4"/>
          <w:lang w:val="da-DK"/>
        </w:rPr>
        <w:t>NAVN</w:t>
      </w:r>
    </w:p>
    <w:p w14:paraId="3C5E8F4C" w14:textId="77777777" w:rsidR="003563EF" w:rsidRPr="001278B6" w:rsidRDefault="003563EF" w:rsidP="001278B6">
      <w:pPr>
        <w:pStyle w:val="a3"/>
        <w:widowControl/>
        <w:adjustRightInd w:val="0"/>
        <w:snapToGrid w:val="0"/>
        <w:rPr>
          <w:b/>
          <w:snapToGrid w:val="0"/>
          <w:lang w:val="da-DK"/>
        </w:rPr>
      </w:pPr>
    </w:p>
    <w:p w14:paraId="12AC3925" w14:textId="2B3D3ACE" w:rsidR="00385BB7" w:rsidRDefault="00295FBB">
      <w:pPr>
        <w:pStyle w:val="a3"/>
        <w:widowControl/>
        <w:adjustRightInd w:val="0"/>
        <w:snapToGrid w:val="0"/>
        <w:rPr>
          <w:snapToGrid w:val="0"/>
          <w:lang w:val="da-DK"/>
        </w:rPr>
      </w:pPr>
      <w:r>
        <w:rPr>
          <w:color w:val="000000"/>
          <w:lang w:val="da-DK" w:eastAsia="ko-KR"/>
        </w:rPr>
        <w:t>Vegzelma</w:t>
      </w:r>
      <w:r w:rsidR="00452BDF">
        <w:rPr>
          <w:rFonts w:eastAsia="맑은 고딕" w:hint="eastAsia"/>
          <w:color w:val="000000"/>
          <w:lang w:val="da-DK" w:eastAsia="ko-KR"/>
        </w:rPr>
        <w:t xml:space="preserve"> </w:t>
      </w:r>
      <w:r w:rsidR="00473235" w:rsidRPr="001278B6">
        <w:rPr>
          <w:snapToGrid w:val="0"/>
          <w:lang w:val="da-DK"/>
        </w:rPr>
        <w:t>25</w:t>
      </w:r>
      <w:r w:rsidR="004C60BE">
        <w:rPr>
          <w:snapToGrid w:val="0"/>
          <w:lang w:val="da-DK"/>
        </w:rPr>
        <w:t> mg</w:t>
      </w:r>
      <w:r w:rsidR="00473235" w:rsidRPr="001278B6">
        <w:rPr>
          <w:snapToGrid w:val="0"/>
          <w:lang w:val="da-DK"/>
        </w:rPr>
        <w:t>/ml koncentrat til infusionsvæske, opløsning</w:t>
      </w:r>
    </w:p>
    <w:p w14:paraId="7418EE72"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w:t>
      </w:r>
    </w:p>
    <w:p w14:paraId="7B80797B" w14:textId="77777777" w:rsidR="003563EF" w:rsidRPr="001278B6" w:rsidRDefault="003563EF" w:rsidP="001278B6">
      <w:pPr>
        <w:pStyle w:val="a3"/>
        <w:widowControl/>
        <w:adjustRightInd w:val="0"/>
        <w:snapToGrid w:val="0"/>
        <w:rPr>
          <w:snapToGrid w:val="0"/>
          <w:lang w:val="da-DK"/>
        </w:rPr>
      </w:pPr>
    </w:p>
    <w:p w14:paraId="0AC15D72" w14:textId="77777777" w:rsidR="009A1720" w:rsidRPr="001278B6" w:rsidRDefault="009A1720" w:rsidP="001278B6">
      <w:pPr>
        <w:pStyle w:val="a3"/>
        <w:widowControl/>
        <w:adjustRightInd w:val="0"/>
        <w:snapToGrid w:val="0"/>
        <w:rPr>
          <w:snapToGrid w:val="0"/>
          <w:lang w:val="da-DK"/>
        </w:rPr>
      </w:pPr>
    </w:p>
    <w:p w14:paraId="372A9856" w14:textId="77777777" w:rsidR="009A1720" w:rsidRPr="001278B6" w:rsidRDefault="009A1720"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2.</w:t>
      </w:r>
      <w:r w:rsidRPr="001278B6">
        <w:rPr>
          <w:b/>
          <w:lang w:val="da-DK"/>
        </w:rPr>
        <w:tab/>
        <w:t>ANGIVELSE</w:t>
      </w:r>
      <w:r w:rsidRPr="001278B6">
        <w:rPr>
          <w:b/>
          <w:spacing w:val="-10"/>
          <w:lang w:val="da-DK"/>
        </w:rPr>
        <w:t xml:space="preserve"> </w:t>
      </w:r>
      <w:r w:rsidRPr="001278B6">
        <w:rPr>
          <w:b/>
          <w:lang w:val="da-DK"/>
        </w:rPr>
        <w:t>AF</w:t>
      </w:r>
      <w:r w:rsidRPr="001278B6">
        <w:rPr>
          <w:b/>
          <w:spacing w:val="-4"/>
          <w:lang w:val="da-DK"/>
        </w:rPr>
        <w:t xml:space="preserve"> </w:t>
      </w:r>
      <w:r w:rsidRPr="001278B6">
        <w:rPr>
          <w:b/>
          <w:lang w:val="da-DK"/>
        </w:rPr>
        <w:t>AKTIVT</w:t>
      </w:r>
      <w:r w:rsidRPr="001278B6">
        <w:rPr>
          <w:b/>
          <w:spacing w:val="-7"/>
          <w:lang w:val="da-DK"/>
        </w:rPr>
        <w:t xml:space="preserve"> </w:t>
      </w:r>
      <w:r w:rsidRPr="001278B6">
        <w:rPr>
          <w:b/>
          <w:lang w:val="da-DK"/>
        </w:rPr>
        <w:t>STOF/AKTIVE</w:t>
      </w:r>
      <w:r w:rsidRPr="001278B6">
        <w:rPr>
          <w:b/>
          <w:spacing w:val="-7"/>
          <w:lang w:val="da-DK"/>
        </w:rPr>
        <w:t xml:space="preserve"> </w:t>
      </w:r>
      <w:r w:rsidRPr="001278B6">
        <w:rPr>
          <w:b/>
          <w:spacing w:val="-2"/>
          <w:lang w:val="da-DK"/>
        </w:rPr>
        <w:t>STOFFER</w:t>
      </w:r>
    </w:p>
    <w:p w14:paraId="7822DE60" w14:textId="77777777" w:rsidR="003563EF" w:rsidRPr="001278B6" w:rsidRDefault="003563EF" w:rsidP="001278B6">
      <w:pPr>
        <w:pStyle w:val="a3"/>
        <w:widowControl/>
        <w:adjustRightInd w:val="0"/>
        <w:snapToGrid w:val="0"/>
        <w:rPr>
          <w:snapToGrid w:val="0"/>
          <w:lang w:val="da-DK"/>
        </w:rPr>
      </w:pPr>
    </w:p>
    <w:p w14:paraId="6CB9FF7C" w14:textId="77777777" w:rsidR="003563EF" w:rsidRPr="001278B6" w:rsidRDefault="00473235" w:rsidP="001278B6">
      <w:pPr>
        <w:pStyle w:val="a3"/>
        <w:widowControl/>
        <w:adjustRightInd w:val="0"/>
        <w:snapToGrid w:val="0"/>
        <w:rPr>
          <w:snapToGrid w:val="0"/>
          <w:lang w:val="da-DK"/>
        </w:rPr>
      </w:pPr>
      <w:r w:rsidRPr="001278B6">
        <w:rPr>
          <w:snapToGrid w:val="0"/>
          <w:lang w:val="da-DK"/>
        </w:rPr>
        <w:t>Hvert hætteglas indeholder 100</w:t>
      </w:r>
      <w:r w:rsidR="004C60BE">
        <w:rPr>
          <w:snapToGrid w:val="0"/>
          <w:lang w:val="da-DK"/>
        </w:rPr>
        <w:t> mg</w:t>
      </w:r>
      <w:r w:rsidRPr="001278B6">
        <w:rPr>
          <w:snapToGrid w:val="0"/>
          <w:lang w:val="da-DK"/>
        </w:rPr>
        <w:t xml:space="preserve"> bevacizumab</w:t>
      </w:r>
      <w:r w:rsidR="00BF66EF">
        <w:rPr>
          <w:snapToGrid w:val="0"/>
          <w:lang w:val="da-DK"/>
        </w:rPr>
        <w:t xml:space="preserve"> i 4</w:t>
      </w:r>
      <w:r w:rsidR="004C60BE">
        <w:rPr>
          <w:snapToGrid w:val="0"/>
          <w:lang w:val="da-DK"/>
        </w:rPr>
        <w:t> ml</w:t>
      </w:r>
      <w:r w:rsidR="00BF66EF">
        <w:rPr>
          <w:snapToGrid w:val="0"/>
          <w:lang w:val="da-DK"/>
        </w:rPr>
        <w:t xml:space="preserve"> koncentrat</w:t>
      </w:r>
      <w:r w:rsidRPr="001278B6">
        <w:rPr>
          <w:snapToGrid w:val="0"/>
          <w:lang w:val="da-DK"/>
        </w:rPr>
        <w:t>.</w:t>
      </w:r>
    </w:p>
    <w:p w14:paraId="368B2691" w14:textId="77777777" w:rsidR="003563EF" w:rsidRPr="001278B6" w:rsidRDefault="003563EF" w:rsidP="001278B6">
      <w:pPr>
        <w:pStyle w:val="a3"/>
        <w:widowControl/>
        <w:adjustRightInd w:val="0"/>
        <w:snapToGrid w:val="0"/>
        <w:rPr>
          <w:snapToGrid w:val="0"/>
          <w:lang w:val="da-DK"/>
        </w:rPr>
      </w:pPr>
    </w:p>
    <w:p w14:paraId="13535F85" w14:textId="77777777" w:rsidR="00540259" w:rsidRPr="001278B6" w:rsidRDefault="00540259" w:rsidP="001278B6">
      <w:pPr>
        <w:pStyle w:val="a3"/>
        <w:widowControl/>
        <w:adjustRightInd w:val="0"/>
        <w:snapToGrid w:val="0"/>
        <w:rPr>
          <w:snapToGrid w:val="0"/>
          <w:lang w:val="da-DK"/>
        </w:rPr>
      </w:pPr>
    </w:p>
    <w:p w14:paraId="008438CD" w14:textId="77777777" w:rsidR="00540259" w:rsidRPr="001278B6" w:rsidRDefault="00540259"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3.</w:t>
      </w:r>
      <w:r w:rsidRPr="001278B6">
        <w:rPr>
          <w:b/>
          <w:lang w:val="da-DK"/>
        </w:rPr>
        <w:tab/>
        <w:t>LISTE</w:t>
      </w:r>
      <w:r w:rsidRPr="001278B6">
        <w:rPr>
          <w:b/>
          <w:spacing w:val="-4"/>
          <w:lang w:val="da-DK"/>
        </w:rPr>
        <w:t xml:space="preserve"> </w:t>
      </w:r>
      <w:r w:rsidRPr="001278B6">
        <w:rPr>
          <w:b/>
          <w:lang w:val="da-DK"/>
        </w:rPr>
        <w:t>OVER</w:t>
      </w:r>
      <w:r w:rsidRPr="001278B6">
        <w:rPr>
          <w:b/>
          <w:spacing w:val="-3"/>
          <w:lang w:val="da-DK"/>
        </w:rPr>
        <w:t xml:space="preserve"> </w:t>
      </w:r>
      <w:r w:rsidRPr="001278B6">
        <w:rPr>
          <w:b/>
          <w:spacing w:val="-2"/>
          <w:lang w:val="da-DK"/>
        </w:rPr>
        <w:t>HJÆLPESTOFFER</w:t>
      </w:r>
    </w:p>
    <w:p w14:paraId="6B83CEE3" w14:textId="77777777" w:rsidR="003563EF" w:rsidRPr="001278B6" w:rsidRDefault="003563EF" w:rsidP="001278B6">
      <w:pPr>
        <w:pStyle w:val="a3"/>
        <w:widowControl/>
        <w:adjustRightInd w:val="0"/>
        <w:snapToGrid w:val="0"/>
        <w:rPr>
          <w:snapToGrid w:val="0"/>
          <w:lang w:val="da-DK"/>
        </w:rPr>
      </w:pPr>
    </w:p>
    <w:p w14:paraId="3AA4C012" w14:textId="77777777" w:rsidR="003563EF" w:rsidRPr="001278B6" w:rsidRDefault="00473235" w:rsidP="001278B6">
      <w:pPr>
        <w:pStyle w:val="a3"/>
        <w:widowControl/>
        <w:adjustRightInd w:val="0"/>
        <w:snapToGrid w:val="0"/>
        <w:rPr>
          <w:snapToGrid w:val="0"/>
          <w:lang w:val="da-DK"/>
        </w:rPr>
      </w:pPr>
      <w:r w:rsidRPr="001278B6">
        <w:rPr>
          <w:snapToGrid w:val="0"/>
          <w:lang w:val="da-DK"/>
        </w:rPr>
        <w:t>Trehalosedihydrat, natriumphosphat, polysorbat 20, vand til injektionsvæsker.</w:t>
      </w:r>
    </w:p>
    <w:p w14:paraId="5D693D3E" w14:textId="77777777" w:rsidR="003563EF" w:rsidRPr="001278B6" w:rsidRDefault="003563EF" w:rsidP="001278B6">
      <w:pPr>
        <w:pStyle w:val="a3"/>
        <w:widowControl/>
        <w:adjustRightInd w:val="0"/>
        <w:snapToGrid w:val="0"/>
        <w:rPr>
          <w:snapToGrid w:val="0"/>
          <w:lang w:val="da-DK"/>
        </w:rPr>
      </w:pPr>
    </w:p>
    <w:p w14:paraId="295F5109" w14:textId="77777777" w:rsidR="00540259" w:rsidRPr="001278B6" w:rsidRDefault="00540259" w:rsidP="001278B6">
      <w:pPr>
        <w:pStyle w:val="a3"/>
        <w:widowControl/>
        <w:adjustRightInd w:val="0"/>
        <w:snapToGrid w:val="0"/>
        <w:rPr>
          <w:snapToGrid w:val="0"/>
          <w:lang w:val="da-DK"/>
        </w:rPr>
      </w:pPr>
    </w:p>
    <w:p w14:paraId="48B4941F" w14:textId="77777777" w:rsidR="00540259" w:rsidRPr="001278B6" w:rsidRDefault="00540259" w:rsidP="001278B6">
      <w:pPr>
        <w:widowControl/>
        <w:pBdr>
          <w:top w:val="single" w:sz="4" w:space="1" w:color="auto"/>
          <w:left w:val="single" w:sz="4" w:space="4" w:color="auto"/>
          <w:bottom w:val="single" w:sz="4" w:space="1" w:color="auto"/>
          <w:right w:val="single" w:sz="4" w:space="4" w:color="auto"/>
        </w:pBdr>
        <w:tabs>
          <w:tab w:val="left" w:pos="669"/>
        </w:tabs>
        <w:spacing w:before="1"/>
        <w:rPr>
          <w:b/>
          <w:lang w:val="da-DK"/>
        </w:rPr>
      </w:pPr>
      <w:r w:rsidRPr="001278B6">
        <w:rPr>
          <w:b/>
          <w:spacing w:val="-5"/>
          <w:lang w:val="da-DK"/>
        </w:rPr>
        <w:t>4.</w:t>
      </w:r>
      <w:r w:rsidRPr="001278B6">
        <w:rPr>
          <w:b/>
          <w:lang w:val="da-DK"/>
        </w:rPr>
        <w:tab/>
        <w:t>LÆGEMIDDELFORM</w:t>
      </w:r>
      <w:r w:rsidRPr="001278B6">
        <w:rPr>
          <w:b/>
          <w:spacing w:val="-10"/>
          <w:lang w:val="da-DK"/>
        </w:rPr>
        <w:t xml:space="preserve"> </w:t>
      </w:r>
      <w:r w:rsidRPr="001278B6">
        <w:rPr>
          <w:b/>
          <w:lang w:val="da-DK"/>
        </w:rPr>
        <w:t>OG</w:t>
      </w:r>
      <w:r w:rsidRPr="001278B6">
        <w:rPr>
          <w:b/>
          <w:spacing w:val="-7"/>
          <w:lang w:val="da-DK"/>
        </w:rPr>
        <w:t xml:space="preserve"> </w:t>
      </w:r>
      <w:r w:rsidRPr="001278B6">
        <w:rPr>
          <w:b/>
          <w:lang w:val="da-DK"/>
        </w:rPr>
        <w:t>INDHOLD</w:t>
      </w:r>
      <w:r w:rsidRPr="001278B6">
        <w:rPr>
          <w:b/>
          <w:spacing w:val="-6"/>
          <w:lang w:val="da-DK"/>
        </w:rPr>
        <w:t xml:space="preserve"> </w:t>
      </w:r>
      <w:r w:rsidRPr="001278B6">
        <w:rPr>
          <w:b/>
          <w:spacing w:val="-2"/>
          <w:lang w:val="da-DK"/>
        </w:rPr>
        <w:t>(PAKNINGSSTØRRELSE)</w:t>
      </w:r>
    </w:p>
    <w:p w14:paraId="52A33889" w14:textId="77777777" w:rsidR="003563EF" w:rsidRPr="001278B6" w:rsidRDefault="003563EF" w:rsidP="001278B6">
      <w:pPr>
        <w:pStyle w:val="a3"/>
        <w:widowControl/>
        <w:adjustRightInd w:val="0"/>
        <w:snapToGrid w:val="0"/>
        <w:rPr>
          <w:snapToGrid w:val="0"/>
          <w:lang w:val="da-DK"/>
        </w:rPr>
      </w:pPr>
    </w:p>
    <w:p w14:paraId="5ABCC05A" w14:textId="77777777" w:rsidR="00385BB7" w:rsidRDefault="00473235">
      <w:pPr>
        <w:pStyle w:val="a3"/>
        <w:widowControl/>
        <w:adjustRightInd w:val="0"/>
        <w:snapToGrid w:val="0"/>
        <w:rPr>
          <w:snapToGrid w:val="0"/>
          <w:lang w:val="da-DK"/>
        </w:rPr>
      </w:pPr>
      <w:r w:rsidRPr="00D31843">
        <w:rPr>
          <w:snapToGrid w:val="0"/>
          <w:highlight w:val="lightGray"/>
          <w:lang w:val="da-DK"/>
        </w:rPr>
        <w:t>Koncentrat til infusionsvæske, opløsning</w:t>
      </w:r>
    </w:p>
    <w:p w14:paraId="162C1BB5" w14:textId="77777777" w:rsidR="003563EF" w:rsidRPr="00D31843" w:rsidRDefault="00473235" w:rsidP="001278B6">
      <w:pPr>
        <w:pStyle w:val="a3"/>
        <w:widowControl/>
        <w:adjustRightInd w:val="0"/>
        <w:snapToGrid w:val="0"/>
        <w:rPr>
          <w:snapToGrid w:val="0"/>
          <w:highlight w:val="lightGray"/>
          <w:lang w:val="da-DK"/>
        </w:rPr>
      </w:pPr>
      <w:r w:rsidRPr="001278B6">
        <w:rPr>
          <w:snapToGrid w:val="0"/>
          <w:lang w:val="da-DK"/>
        </w:rPr>
        <w:t xml:space="preserve">1 hætteglas </w:t>
      </w:r>
      <w:r w:rsidRPr="00D31843">
        <w:rPr>
          <w:snapToGrid w:val="0"/>
          <w:highlight w:val="lightGray"/>
          <w:lang w:val="da-DK"/>
        </w:rPr>
        <w:t>á 4</w:t>
      </w:r>
      <w:r w:rsidR="00D57B83" w:rsidRPr="00D31843">
        <w:rPr>
          <w:snapToGrid w:val="0"/>
          <w:highlight w:val="lightGray"/>
          <w:lang w:val="da-DK"/>
        </w:rPr>
        <w:t> </w:t>
      </w:r>
      <w:r w:rsidRPr="00D31843">
        <w:rPr>
          <w:snapToGrid w:val="0"/>
          <w:highlight w:val="lightGray"/>
          <w:lang w:val="da-DK"/>
        </w:rPr>
        <w:t>ml</w:t>
      </w:r>
    </w:p>
    <w:p w14:paraId="352FAE85" w14:textId="77777777" w:rsidR="00BF66EF" w:rsidRPr="001278B6" w:rsidRDefault="00BF66EF" w:rsidP="001278B6">
      <w:pPr>
        <w:pStyle w:val="a3"/>
        <w:widowControl/>
        <w:adjustRightInd w:val="0"/>
        <w:snapToGrid w:val="0"/>
        <w:rPr>
          <w:snapToGrid w:val="0"/>
          <w:lang w:val="da-DK"/>
        </w:rPr>
      </w:pPr>
      <w:r w:rsidRPr="00D31843">
        <w:rPr>
          <w:snapToGrid w:val="0"/>
          <w:highlight w:val="lightGray"/>
          <w:lang w:val="da-DK"/>
        </w:rPr>
        <w:t>10 hætteglas á 4</w:t>
      </w:r>
      <w:r w:rsidR="00D57B83" w:rsidRPr="00D31843">
        <w:rPr>
          <w:snapToGrid w:val="0"/>
          <w:highlight w:val="lightGray"/>
          <w:lang w:val="da-DK"/>
        </w:rPr>
        <w:t> </w:t>
      </w:r>
      <w:r w:rsidRPr="00D31843">
        <w:rPr>
          <w:snapToGrid w:val="0"/>
          <w:highlight w:val="lightGray"/>
          <w:lang w:val="da-DK"/>
        </w:rPr>
        <w:t>ml</w:t>
      </w:r>
    </w:p>
    <w:p w14:paraId="0146EDE6" w14:textId="77777777" w:rsidR="003563EF" w:rsidRPr="001278B6" w:rsidRDefault="00473235" w:rsidP="001278B6">
      <w:pPr>
        <w:pStyle w:val="a3"/>
        <w:widowControl/>
        <w:adjustRightInd w:val="0"/>
        <w:snapToGrid w:val="0"/>
        <w:rPr>
          <w:snapToGrid w:val="0"/>
          <w:lang w:val="da-DK"/>
        </w:rPr>
      </w:pPr>
      <w:r w:rsidRPr="001278B6">
        <w:rPr>
          <w:snapToGrid w:val="0"/>
          <w:lang w:val="da-DK"/>
        </w:rPr>
        <w:t>100</w:t>
      </w:r>
      <w:r w:rsidR="00D57B83">
        <w:rPr>
          <w:snapToGrid w:val="0"/>
          <w:lang w:val="da-DK"/>
        </w:rPr>
        <w:t> </w:t>
      </w:r>
      <w:r w:rsidRPr="001278B6">
        <w:rPr>
          <w:snapToGrid w:val="0"/>
          <w:lang w:val="da-DK"/>
        </w:rPr>
        <w:t>mg/4</w:t>
      </w:r>
      <w:r w:rsidR="00D57B83">
        <w:rPr>
          <w:snapToGrid w:val="0"/>
          <w:lang w:val="da-DK"/>
        </w:rPr>
        <w:t> </w:t>
      </w:r>
      <w:r w:rsidRPr="001278B6">
        <w:rPr>
          <w:snapToGrid w:val="0"/>
          <w:lang w:val="da-DK"/>
        </w:rPr>
        <w:t>ml</w:t>
      </w:r>
    </w:p>
    <w:p w14:paraId="19215245" w14:textId="77777777" w:rsidR="003563EF" w:rsidRPr="001278B6" w:rsidRDefault="003563EF" w:rsidP="001278B6">
      <w:pPr>
        <w:pStyle w:val="a3"/>
        <w:widowControl/>
        <w:adjustRightInd w:val="0"/>
        <w:snapToGrid w:val="0"/>
        <w:rPr>
          <w:snapToGrid w:val="0"/>
          <w:lang w:val="da-DK"/>
        </w:rPr>
      </w:pPr>
    </w:p>
    <w:p w14:paraId="2E5DE002" w14:textId="77777777" w:rsidR="00540259" w:rsidRPr="001278B6" w:rsidRDefault="00540259" w:rsidP="001278B6">
      <w:pPr>
        <w:pStyle w:val="a3"/>
        <w:widowControl/>
        <w:adjustRightInd w:val="0"/>
        <w:snapToGrid w:val="0"/>
        <w:rPr>
          <w:snapToGrid w:val="0"/>
          <w:lang w:val="da-DK"/>
        </w:rPr>
      </w:pPr>
    </w:p>
    <w:p w14:paraId="626781E1" w14:textId="77777777" w:rsidR="003563EF" w:rsidRPr="001278B6" w:rsidRDefault="00540259"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5.</w:t>
      </w:r>
      <w:r w:rsidRPr="001278B6">
        <w:rPr>
          <w:b/>
          <w:lang w:val="da-DK"/>
        </w:rPr>
        <w:tab/>
        <w:t>ANVENDELSESMÅDE</w:t>
      </w:r>
      <w:r w:rsidRPr="001278B6">
        <w:rPr>
          <w:b/>
          <w:spacing w:val="-10"/>
          <w:lang w:val="da-DK"/>
        </w:rPr>
        <w:t xml:space="preserve"> </w:t>
      </w:r>
      <w:r w:rsidRPr="001278B6">
        <w:rPr>
          <w:b/>
          <w:lang w:val="da-DK"/>
        </w:rPr>
        <w:t>OG</w:t>
      </w:r>
      <w:r w:rsidRPr="001278B6">
        <w:rPr>
          <w:b/>
          <w:spacing w:val="-9"/>
          <w:lang w:val="da-DK"/>
        </w:rPr>
        <w:t xml:space="preserve"> </w:t>
      </w:r>
      <w:r w:rsidRPr="001278B6">
        <w:rPr>
          <w:b/>
          <w:spacing w:val="-2"/>
          <w:lang w:val="da-DK"/>
        </w:rPr>
        <w:t>ADMINISTRATIONSVEJ(E)</w:t>
      </w:r>
    </w:p>
    <w:p w14:paraId="37EE926E" w14:textId="77777777" w:rsidR="003563EF" w:rsidRPr="001278B6" w:rsidRDefault="003563EF" w:rsidP="001278B6">
      <w:pPr>
        <w:pStyle w:val="a3"/>
        <w:widowControl/>
        <w:adjustRightInd w:val="0"/>
        <w:snapToGrid w:val="0"/>
        <w:rPr>
          <w:snapToGrid w:val="0"/>
          <w:lang w:val="da-DK"/>
        </w:rPr>
      </w:pPr>
    </w:p>
    <w:p w14:paraId="56746784" w14:textId="77777777" w:rsidR="00385BB7" w:rsidRDefault="00473235">
      <w:pPr>
        <w:pStyle w:val="a3"/>
        <w:widowControl/>
        <w:adjustRightInd w:val="0"/>
        <w:snapToGrid w:val="0"/>
        <w:rPr>
          <w:snapToGrid w:val="0"/>
          <w:lang w:val="da-DK"/>
        </w:rPr>
      </w:pPr>
      <w:r w:rsidRPr="001278B6">
        <w:rPr>
          <w:snapToGrid w:val="0"/>
          <w:lang w:val="da-DK"/>
        </w:rPr>
        <w:t>Til intravenøs anvendelse efter fortynding</w:t>
      </w:r>
    </w:p>
    <w:p w14:paraId="4AB41FD3" w14:textId="77777777" w:rsidR="003563EF" w:rsidRPr="001278B6" w:rsidRDefault="00473235" w:rsidP="001278B6">
      <w:pPr>
        <w:pStyle w:val="a3"/>
        <w:widowControl/>
        <w:adjustRightInd w:val="0"/>
        <w:snapToGrid w:val="0"/>
        <w:rPr>
          <w:snapToGrid w:val="0"/>
          <w:lang w:val="da-DK"/>
        </w:rPr>
      </w:pPr>
      <w:r w:rsidRPr="001278B6">
        <w:rPr>
          <w:snapToGrid w:val="0"/>
          <w:lang w:val="da-DK"/>
        </w:rPr>
        <w:t>Læs indlægssedlen inden brug</w:t>
      </w:r>
    </w:p>
    <w:p w14:paraId="7B35B891" w14:textId="77777777" w:rsidR="003563EF" w:rsidRPr="001278B6" w:rsidRDefault="003563EF" w:rsidP="001278B6">
      <w:pPr>
        <w:pStyle w:val="a3"/>
        <w:widowControl/>
        <w:adjustRightInd w:val="0"/>
        <w:snapToGrid w:val="0"/>
        <w:rPr>
          <w:snapToGrid w:val="0"/>
          <w:lang w:val="da-DK"/>
        </w:rPr>
      </w:pPr>
    </w:p>
    <w:p w14:paraId="56F6877D" w14:textId="77777777" w:rsidR="00540259" w:rsidRPr="001278B6" w:rsidRDefault="00540259" w:rsidP="001278B6">
      <w:pPr>
        <w:pStyle w:val="a3"/>
        <w:widowControl/>
        <w:adjustRightInd w:val="0"/>
        <w:snapToGrid w:val="0"/>
        <w:rPr>
          <w:snapToGrid w:val="0"/>
          <w:lang w:val="da-DK"/>
        </w:rPr>
      </w:pPr>
    </w:p>
    <w:p w14:paraId="4AB8A724" w14:textId="77777777" w:rsidR="00540259" w:rsidRPr="001278B6" w:rsidRDefault="00540259" w:rsidP="001278B6">
      <w:pPr>
        <w:widowControl/>
        <w:numPr>
          <w:ilvl w:val="0"/>
          <w:numId w:val="17"/>
        </w:numPr>
        <w:pBdr>
          <w:top w:val="single" w:sz="4" w:space="1" w:color="auto"/>
          <w:left w:val="single" w:sz="4" w:space="4" w:color="auto"/>
          <w:bottom w:val="single" w:sz="4" w:space="1" w:color="auto"/>
          <w:right w:val="single" w:sz="4" w:space="4" w:color="auto"/>
        </w:pBdr>
        <w:ind w:left="567"/>
        <w:rPr>
          <w:b/>
          <w:lang w:val="da-DK"/>
        </w:rPr>
      </w:pPr>
      <w:r w:rsidRPr="001278B6">
        <w:rPr>
          <w:b/>
          <w:lang w:val="da-DK"/>
        </w:rPr>
        <w:t>SÆRLIG</w:t>
      </w:r>
      <w:r w:rsidRPr="001278B6">
        <w:rPr>
          <w:b/>
          <w:spacing w:val="-8"/>
          <w:lang w:val="da-DK"/>
        </w:rPr>
        <w:t xml:space="preserve"> </w:t>
      </w:r>
      <w:r w:rsidRPr="001278B6">
        <w:rPr>
          <w:b/>
          <w:lang w:val="da-DK"/>
        </w:rPr>
        <w:t>ADVARSEL</w:t>
      </w:r>
      <w:r w:rsidRPr="001278B6">
        <w:rPr>
          <w:b/>
          <w:spacing w:val="-7"/>
          <w:lang w:val="da-DK"/>
        </w:rPr>
        <w:t xml:space="preserve"> </w:t>
      </w:r>
      <w:r w:rsidRPr="001278B6">
        <w:rPr>
          <w:b/>
          <w:lang w:val="da-DK"/>
        </w:rPr>
        <w:t>OM,</w:t>
      </w:r>
      <w:r w:rsidRPr="001278B6">
        <w:rPr>
          <w:b/>
          <w:spacing w:val="-6"/>
          <w:lang w:val="da-DK"/>
        </w:rPr>
        <w:t xml:space="preserve"> </w:t>
      </w:r>
      <w:r w:rsidRPr="001278B6">
        <w:rPr>
          <w:b/>
          <w:lang w:val="da-DK"/>
        </w:rPr>
        <w:t>AT</w:t>
      </w:r>
      <w:r w:rsidRPr="001278B6">
        <w:rPr>
          <w:b/>
          <w:spacing w:val="-7"/>
          <w:lang w:val="da-DK"/>
        </w:rPr>
        <w:t xml:space="preserve"> </w:t>
      </w:r>
      <w:r w:rsidRPr="001278B6">
        <w:rPr>
          <w:b/>
          <w:lang w:val="da-DK"/>
        </w:rPr>
        <w:t>LÆGEMIDLET</w:t>
      </w:r>
      <w:r w:rsidRPr="001278B6">
        <w:rPr>
          <w:b/>
          <w:spacing w:val="-7"/>
          <w:lang w:val="da-DK"/>
        </w:rPr>
        <w:t xml:space="preserve"> </w:t>
      </w:r>
      <w:r w:rsidRPr="001278B6">
        <w:rPr>
          <w:b/>
          <w:lang w:val="da-DK"/>
        </w:rPr>
        <w:t>SKAL</w:t>
      </w:r>
      <w:r w:rsidRPr="001278B6">
        <w:rPr>
          <w:b/>
          <w:spacing w:val="-7"/>
          <w:lang w:val="da-DK"/>
        </w:rPr>
        <w:t xml:space="preserve"> </w:t>
      </w:r>
      <w:r w:rsidRPr="001278B6">
        <w:rPr>
          <w:b/>
          <w:lang w:val="da-DK"/>
        </w:rPr>
        <w:t>OPBEVARES UTILGÆNGELIGT FOR BØRN</w:t>
      </w:r>
    </w:p>
    <w:p w14:paraId="28F0FD07" w14:textId="77777777" w:rsidR="003563EF" w:rsidRPr="001278B6" w:rsidRDefault="003563EF" w:rsidP="001278B6">
      <w:pPr>
        <w:pStyle w:val="a3"/>
        <w:widowControl/>
        <w:adjustRightInd w:val="0"/>
        <w:snapToGrid w:val="0"/>
        <w:rPr>
          <w:snapToGrid w:val="0"/>
          <w:lang w:val="da-DK"/>
        </w:rPr>
      </w:pPr>
    </w:p>
    <w:p w14:paraId="4027AD11" w14:textId="77777777" w:rsidR="003563EF" w:rsidRPr="001278B6" w:rsidRDefault="00473235" w:rsidP="001278B6">
      <w:pPr>
        <w:pStyle w:val="a3"/>
        <w:widowControl/>
        <w:adjustRightInd w:val="0"/>
        <w:snapToGrid w:val="0"/>
        <w:rPr>
          <w:snapToGrid w:val="0"/>
          <w:lang w:val="da-DK"/>
        </w:rPr>
      </w:pPr>
      <w:r w:rsidRPr="001278B6">
        <w:rPr>
          <w:snapToGrid w:val="0"/>
          <w:lang w:val="da-DK"/>
        </w:rPr>
        <w:t>Opbevares utilgængeligt for børn</w:t>
      </w:r>
    </w:p>
    <w:p w14:paraId="4D272F81" w14:textId="77777777" w:rsidR="003563EF" w:rsidRPr="001278B6" w:rsidRDefault="003563EF" w:rsidP="001278B6">
      <w:pPr>
        <w:pStyle w:val="a3"/>
        <w:widowControl/>
        <w:adjustRightInd w:val="0"/>
        <w:snapToGrid w:val="0"/>
        <w:rPr>
          <w:snapToGrid w:val="0"/>
          <w:lang w:val="da-DK"/>
        </w:rPr>
      </w:pPr>
    </w:p>
    <w:p w14:paraId="735648E5" w14:textId="77777777" w:rsidR="00A73D43" w:rsidRPr="001278B6" w:rsidRDefault="00A73D43" w:rsidP="001278B6">
      <w:pPr>
        <w:pStyle w:val="a3"/>
        <w:widowControl/>
        <w:adjustRightInd w:val="0"/>
        <w:snapToGrid w:val="0"/>
        <w:rPr>
          <w:snapToGrid w:val="0"/>
          <w:lang w:val="da-DK"/>
        </w:rPr>
      </w:pPr>
    </w:p>
    <w:p w14:paraId="50375BA6" w14:textId="77777777" w:rsidR="00A73D43" w:rsidRPr="001278B6" w:rsidRDefault="00A73D4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7.</w:t>
      </w:r>
      <w:r w:rsidRPr="001278B6">
        <w:rPr>
          <w:b/>
          <w:lang w:val="da-DK"/>
        </w:rPr>
        <w:tab/>
        <w:t>EVENTUELLE</w:t>
      </w:r>
      <w:r w:rsidRPr="001278B6">
        <w:rPr>
          <w:b/>
          <w:spacing w:val="-10"/>
          <w:lang w:val="da-DK"/>
        </w:rPr>
        <w:t xml:space="preserve"> </w:t>
      </w:r>
      <w:r w:rsidRPr="001278B6">
        <w:rPr>
          <w:b/>
          <w:lang w:val="da-DK"/>
        </w:rPr>
        <w:t>ANDRE</w:t>
      </w:r>
      <w:r w:rsidRPr="001278B6">
        <w:rPr>
          <w:b/>
          <w:spacing w:val="-8"/>
          <w:lang w:val="da-DK"/>
        </w:rPr>
        <w:t xml:space="preserve"> </w:t>
      </w:r>
      <w:r w:rsidRPr="001278B6">
        <w:rPr>
          <w:b/>
          <w:lang w:val="da-DK"/>
        </w:rPr>
        <w:t>SÆRLIGE</w:t>
      </w:r>
      <w:r w:rsidRPr="001278B6">
        <w:rPr>
          <w:b/>
          <w:spacing w:val="-8"/>
          <w:lang w:val="da-DK"/>
        </w:rPr>
        <w:t xml:space="preserve"> </w:t>
      </w:r>
      <w:r w:rsidRPr="001278B6">
        <w:rPr>
          <w:b/>
          <w:spacing w:val="-2"/>
          <w:lang w:val="da-DK"/>
        </w:rPr>
        <w:t>ADVARSLER</w:t>
      </w:r>
    </w:p>
    <w:p w14:paraId="76C3BCDA" w14:textId="77777777" w:rsidR="003563EF" w:rsidRPr="001278B6" w:rsidRDefault="003563EF" w:rsidP="001278B6">
      <w:pPr>
        <w:pStyle w:val="a3"/>
        <w:widowControl/>
        <w:adjustRightInd w:val="0"/>
        <w:snapToGrid w:val="0"/>
        <w:rPr>
          <w:snapToGrid w:val="0"/>
          <w:lang w:val="da-DK"/>
        </w:rPr>
      </w:pPr>
    </w:p>
    <w:p w14:paraId="4E30F752" w14:textId="77777777" w:rsidR="003563EF" w:rsidRPr="001278B6" w:rsidRDefault="003563EF" w:rsidP="001278B6">
      <w:pPr>
        <w:pStyle w:val="a3"/>
        <w:widowControl/>
        <w:adjustRightInd w:val="0"/>
        <w:snapToGrid w:val="0"/>
        <w:rPr>
          <w:snapToGrid w:val="0"/>
          <w:lang w:val="da-DK"/>
        </w:rPr>
      </w:pPr>
    </w:p>
    <w:p w14:paraId="478CF601" w14:textId="77777777" w:rsidR="00A73D43" w:rsidRPr="001278B6" w:rsidRDefault="00A73D43" w:rsidP="001278B6">
      <w:pPr>
        <w:pStyle w:val="a3"/>
        <w:widowControl/>
        <w:adjustRightInd w:val="0"/>
        <w:snapToGrid w:val="0"/>
        <w:rPr>
          <w:snapToGrid w:val="0"/>
          <w:lang w:val="da-DK"/>
        </w:rPr>
      </w:pPr>
    </w:p>
    <w:p w14:paraId="05C66FD0" w14:textId="77777777" w:rsidR="00A73D43" w:rsidRPr="001278B6" w:rsidRDefault="00A73D4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8.</w:t>
      </w:r>
      <w:r w:rsidRPr="001278B6">
        <w:rPr>
          <w:b/>
          <w:lang w:val="da-DK"/>
        </w:rPr>
        <w:tab/>
      </w:r>
      <w:r w:rsidRPr="001278B6">
        <w:rPr>
          <w:b/>
          <w:spacing w:val="-2"/>
          <w:lang w:val="da-DK"/>
        </w:rPr>
        <w:t>UDLØBSDATO</w:t>
      </w:r>
    </w:p>
    <w:p w14:paraId="28BC442C" w14:textId="77777777" w:rsidR="003563EF" w:rsidRPr="001278B6" w:rsidRDefault="003563EF" w:rsidP="001278B6">
      <w:pPr>
        <w:pStyle w:val="a3"/>
        <w:widowControl/>
        <w:adjustRightInd w:val="0"/>
        <w:snapToGrid w:val="0"/>
        <w:rPr>
          <w:snapToGrid w:val="0"/>
          <w:lang w:val="da-DK"/>
        </w:rPr>
      </w:pPr>
    </w:p>
    <w:p w14:paraId="59901C02" w14:textId="77777777" w:rsidR="003563EF" w:rsidRPr="001278B6" w:rsidRDefault="00473235" w:rsidP="001278B6">
      <w:pPr>
        <w:pStyle w:val="a3"/>
        <w:widowControl/>
        <w:adjustRightInd w:val="0"/>
        <w:snapToGrid w:val="0"/>
        <w:rPr>
          <w:snapToGrid w:val="0"/>
          <w:lang w:val="da-DK"/>
        </w:rPr>
      </w:pPr>
      <w:r w:rsidRPr="001278B6">
        <w:rPr>
          <w:snapToGrid w:val="0"/>
          <w:lang w:val="da-DK"/>
        </w:rPr>
        <w:t>EXP</w:t>
      </w:r>
    </w:p>
    <w:p w14:paraId="088F5245" w14:textId="77777777" w:rsidR="00A73D43" w:rsidRPr="001278B6" w:rsidRDefault="00A73D43" w:rsidP="001278B6">
      <w:pPr>
        <w:pStyle w:val="a3"/>
        <w:widowControl/>
        <w:adjustRightInd w:val="0"/>
        <w:snapToGrid w:val="0"/>
        <w:rPr>
          <w:snapToGrid w:val="0"/>
          <w:lang w:val="da-DK"/>
        </w:rPr>
      </w:pPr>
    </w:p>
    <w:p w14:paraId="7D53D6DD" w14:textId="77777777" w:rsidR="00A73D43" w:rsidRPr="001278B6" w:rsidRDefault="00A73D43" w:rsidP="001278B6">
      <w:pPr>
        <w:pStyle w:val="a3"/>
        <w:widowControl/>
        <w:adjustRightInd w:val="0"/>
        <w:snapToGrid w:val="0"/>
        <w:rPr>
          <w:snapToGrid w:val="0"/>
          <w:lang w:val="da-DK"/>
        </w:rPr>
      </w:pPr>
    </w:p>
    <w:p w14:paraId="1466C629" w14:textId="77777777" w:rsidR="003563EF" w:rsidRPr="001278B6" w:rsidRDefault="00A73D43" w:rsidP="001278B6">
      <w:pPr>
        <w:keepNext/>
        <w:keepLines/>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9.</w:t>
      </w:r>
      <w:r w:rsidRPr="001278B6">
        <w:rPr>
          <w:b/>
          <w:lang w:val="da-DK"/>
        </w:rPr>
        <w:tab/>
        <w:t>SÆRLIGE</w:t>
      </w:r>
      <w:r w:rsidRPr="001278B6">
        <w:rPr>
          <w:b/>
          <w:spacing w:val="-7"/>
          <w:lang w:val="da-DK"/>
        </w:rPr>
        <w:t xml:space="preserve"> </w:t>
      </w:r>
      <w:r w:rsidRPr="001278B6">
        <w:rPr>
          <w:b/>
          <w:spacing w:val="-2"/>
          <w:lang w:val="da-DK"/>
        </w:rPr>
        <w:t>OPBEVARINGSBETINGELSER</w:t>
      </w:r>
    </w:p>
    <w:p w14:paraId="45CCDFB2" w14:textId="77777777" w:rsidR="003563EF" w:rsidRPr="001278B6" w:rsidRDefault="003563EF" w:rsidP="001278B6">
      <w:pPr>
        <w:pStyle w:val="a3"/>
        <w:keepNext/>
        <w:keepLines/>
        <w:widowControl/>
        <w:adjustRightInd w:val="0"/>
        <w:snapToGrid w:val="0"/>
        <w:rPr>
          <w:snapToGrid w:val="0"/>
          <w:lang w:val="da-DK"/>
        </w:rPr>
      </w:pPr>
    </w:p>
    <w:p w14:paraId="5FAE9078" w14:textId="77777777" w:rsidR="00385BB7" w:rsidRDefault="00473235" w:rsidP="001278B6">
      <w:pPr>
        <w:pStyle w:val="a3"/>
        <w:keepNext/>
        <w:keepLines/>
        <w:widowControl/>
        <w:adjustRightInd w:val="0"/>
        <w:snapToGrid w:val="0"/>
        <w:rPr>
          <w:snapToGrid w:val="0"/>
          <w:lang w:val="da-DK"/>
        </w:rPr>
      </w:pPr>
      <w:r w:rsidRPr="001278B6">
        <w:rPr>
          <w:snapToGrid w:val="0"/>
          <w:lang w:val="da-DK"/>
        </w:rPr>
        <w:t>Opbevares i køleskab (2 ºC – 8 ºC)</w:t>
      </w:r>
    </w:p>
    <w:p w14:paraId="46E93F82"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Må ikke nedfryses</w:t>
      </w:r>
    </w:p>
    <w:p w14:paraId="7D3637FD" w14:textId="77777777" w:rsidR="003563EF" w:rsidRPr="001278B6" w:rsidRDefault="00473235" w:rsidP="001278B6">
      <w:pPr>
        <w:pStyle w:val="a3"/>
        <w:widowControl/>
        <w:adjustRightInd w:val="0"/>
        <w:snapToGrid w:val="0"/>
        <w:rPr>
          <w:snapToGrid w:val="0"/>
          <w:lang w:val="da-DK"/>
        </w:rPr>
      </w:pPr>
      <w:r w:rsidRPr="001278B6">
        <w:rPr>
          <w:snapToGrid w:val="0"/>
          <w:lang w:val="da-DK"/>
        </w:rPr>
        <w:t>Opbevar hætteglasset i den ydre karton</w:t>
      </w:r>
      <w:r w:rsidR="00573E1A">
        <w:rPr>
          <w:snapToGrid w:val="0"/>
          <w:lang w:val="da-DK"/>
        </w:rPr>
        <w:t xml:space="preserve"> for at beskytte det mod lys.</w:t>
      </w:r>
    </w:p>
    <w:p w14:paraId="22C32B9A" w14:textId="77777777" w:rsidR="001B6E96" w:rsidRPr="001278B6" w:rsidRDefault="001B6E96" w:rsidP="001278B6">
      <w:pPr>
        <w:keepNext/>
        <w:keepLines/>
        <w:widowControl/>
        <w:pBdr>
          <w:top w:val="single" w:sz="4" w:space="1" w:color="auto"/>
          <w:left w:val="single" w:sz="4" w:space="4" w:color="auto"/>
          <w:bottom w:val="single" w:sz="4" w:space="1" w:color="auto"/>
          <w:right w:val="single" w:sz="4" w:space="4" w:color="auto"/>
        </w:pBdr>
        <w:tabs>
          <w:tab w:val="left" w:pos="567"/>
        </w:tabs>
        <w:ind w:left="567" w:right="306" w:hanging="567"/>
        <w:rPr>
          <w:b/>
          <w:lang w:val="da-DK"/>
        </w:rPr>
      </w:pPr>
      <w:r w:rsidRPr="001278B6">
        <w:rPr>
          <w:b/>
          <w:spacing w:val="-4"/>
          <w:lang w:val="da-DK"/>
        </w:rPr>
        <w:lastRenderedPageBreak/>
        <w:t>10.</w:t>
      </w:r>
      <w:r w:rsidRPr="001278B6">
        <w:rPr>
          <w:b/>
          <w:lang w:val="da-DK"/>
        </w:rPr>
        <w:tab/>
        <w:t>EVENTUELLE</w:t>
      </w:r>
      <w:r w:rsidRPr="001278B6">
        <w:rPr>
          <w:b/>
          <w:spacing w:val="-7"/>
          <w:lang w:val="da-DK"/>
        </w:rPr>
        <w:t xml:space="preserve"> </w:t>
      </w:r>
      <w:r w:rsidRPr="001278B6">
        <w:rPr>
          <w:b/>
          <w:lang w:val="da-DK"/>
        </w:rPr>
        <w:t>SÆRLIGE</w:t>
      </w:r>
      <w:r w:rsidRPr="001278B6">
        <w:rPr>
          <w:b/>
          <w:spacing w:val="-7"/>
          <w:lang w:val="da-DK"/>
        </w:rPr>
        <w:t xml:space="preserve"> </w:t>
      </w:r>
      <w:r w:rsidRPr="001278B6">
        <w:rPr>
          <w:b/>
          <w:lang w:val="da-DK"/>
        </w:rPr>
        <w:t>FORHOLDSREGLER</w:t>
      </w:r>
      <w:r w:rsidRPr="001278B6">
        <w:rPr>
          <w:b/>
          <w:spacing w:val="-7"/>
          <w:lang w:val="da-DK"/>
        </w:rPr>
        <w:t xml:space="preserve"> </w:t>
      </w:r>
      <w:r w:rsidRPr="001278B6">
        <w:rPr>
          <w:b/>
          <w:lang w:val="da-DK"/>
        </w:rPr>
        <w:t>VED</w:t>
      </w:r>
      <w:r w:rsidRPr="001278B6">
        <w:rPr>
          <w:b/>
          <w:spacing w:val="-7"/>
          <w:lang w:val="da-DK"/>
        </w:rPr>
        <w:t xml:space="preserve"> </w:t>
      </w:r>
      <w:r w:rsidRPr="001278B6">
        <w:rPr>
          <w:b/>
          <w:lang w:val="da-DK"/>
        </w:rPr>
        <w:t>BORTSKAFFELSE</w:t>
      </w:r>
      <w:r w:rsidRPr="001278B6">
        <w:rPr>
          <w:b/>
          <w:spacing w:val="-7"/>
          <w:lang w:val="da-DK"/>
        </w:rPr>
        <w:t xml:space="preserve"> </w:t>
      </w:r>
      <w:r w:rsidRPr="001278B6">
        <w:rPr>
          <w:b/>
          <w:lang w:val="da-DK"/>
        </w:rPr>
        <w:t>AF</w:t>
      </w:r>
      <w:r w:rsidRPr="001278B6">
        <w:rPr>
          <w:b/>
          <w:spacing w:val="-4"/>
          <w:lang w:val="da-DK"/>
        </w:rPr>
        <w:t xml:space="preserve"> </w:t>
      </w:r>
      <w:r w:rsidRPr="001278B6">
        <w:rPr>
          <w:b/>
          <w:lang w:val="da-DK"/>
        </w:rPr>
        <w:t>IKKE ANVENDT LÆGEMIDDEL SAMT AFFALD HERAF</w:t>
      </w:r>
    </w:p>
    <w:p w14:paraId="346C7E19" w14:textId="77777777" w:rsidR="003563EF" w:rsidRPr="001278B6" w:rsidRDefault="003563EF" w:rsidP="001278B6">
      <w:pPr>
        <w:pStyle w:val="a3"/>
        <w:keepNext/>
        <w:keepLines/>
        <w:widowControl/>
        <w:adjustRightInd w:val="0"/>
        <w:snapToGrid w:val="0"/>
        <w:rPr>
          <w:snapToGrid w:val="0"/>
          <w:lang w:val="da-DK"/>
        </w:rPr>
      </w:pPr>
    </w:p>
    <w:p w14:paraId="412E660A" w14:textId="77777777" w:rsidR="003563EF" w:rsidRPr="001278B6" w:rsidRDefault="003563EF" w:rsidP="001278B6">
      <w:pPr>
        <w:pStyle w:val="a3"/>
        <w:widowControl/>
        <w:adjustRightInd w:val="0"/>
        <w:snapToGrid w:val="0"/>
        <w:rPr>
          <w:snapToGrid w:val="0"/>
          <w:lang w:val="da-DK"/>
        </w:rPr>
      </w:pPr>
    </w:p>
    <w:p w14:paraId="2C0D691F" w14:textId="77777777" w:rsidR="00087008" w:rsidRPr="001278B6" w:rsidRDefault="00087008"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11.</w:t>
      </w:r>
      <w:r w:rsidRPr="001278B6">
        <w:rPr>
          <w:b/>
          <w:lang w:val="da-DK"/>
        </w:rPr>
        <w:tab/>
        <w:t>NAVN</w:t>
      </w:r>
      <w:r w:rsidRPr="001278B6">
        <w:rPr>
          <w:b/>
          <w:spacing w:val="-8"/>
          <w:lang w:val="da-DK"/>
        </w:rPr>
        <w:t xml:space="preserve"> </w:t>
      </w:r>
      <w:r w:rsidRPr="001278B6">
        <w:rPr>
          <w:b/>
          <w:lang w:val="da-DK"/>
        </w:rPr>
        <w:t>OG</w:t>
      </w:r>
      <w:r w:rsidRPr="001278B6">
        <w:rPr>
          <w:b/>
          <w:spacing w:val="-6"/>
          <w:lang w:val="da-DK"/>
        </w:rPr>
        <w:t xml:space="preserve"> </w:t>
      </w:r>
      <w:r w:rsidRPr="001278B6">
        <w:rPr>
          <w:b/>
          <w:lang w:val="da-DK"/>
        </w:rPr>
        <w:t>ADRESSE</w:t>
      </w:r>
      <w:r w:rsidRPr="001278B6">
        <w:rPr>
          <w:b/>
          <w:spacing w:val="-6"/>
          <w:lang w:val="da-DK"/>
        </w:rPr>
        <w:t xml:space="preserve"> </w:t>
      </w:r>
      <w:r w:rsidRPr="001278B6">
        <w:rPr>
          <w:b/>
          <w:lang w:val="da-DK"/>
        </w:rPr>
        <w:t>PÅ</w:t>
      </w:r>
      <w:r w:rsidRPr="001278B6">
        <w:rPr>
          <w:b/>
          <w:spacing w:val="-5"/>
          <w:lang w:val="da-DK"/>
        </w:rPr>
        <w:t xml:space="preserve"> </w:t>
      </w:r>
      <w:r w:rsidRPr="001278B6">
        <w:rPr>
          <w:b/>
          <w:lang w:val="da-DK"/>
        </w:rPr>
        <w:t>INDEHAVEREN</w:t>
      </w:r>
      <w:r w:rsidRPr="001278B6">
        <w:rPr>
          <w:b/>
          <w:spacing w:val="-6"/>
          <w:lang w:val="da-DK"/>
        </w:rPr>
        <w:t xml:space="preserve"> </w:t>
      </w:r>
      <w:r w:rsidRPr="001278B6">
        <w:rPr>
          <w:b/>
          <w:lang w:val="da-DK"/>
        </w:rPr>
        <w:t>AF</w:t>
      </w:r>
      <w:r w:rsidRPr="001278B6">
        <w:rPr>
          <w:b/>
          <w:spacing w:val="-2"/>
          <w:lang w:val="da-DK"/>
        </w:rPr>
        <w:t xml:space="preserve"> MARKEDSFØRINGSTILLADELSEN</w:t>
      </w:r>
    </w:p>
    <w:p w14:paraId="19869BC9" w14:textId="77777777" w:rsidR="003563EF" w:rsidRPr="001278B6" w:rsidRDefault="003563EF" w:rsidP="001278B6">
      <w:pPr>
        <w:pStyle w:val="a3"/>
        <w:widowControl/>
        <w:adjustRightInd w:val="0"/>
        <w:snapToGrid w:val="0"/>
        <w:rPr>
          <w:snapToGrid w:val="0"/>
          <w:lang w:val="da-DK"/>
        </w:rPr>
      </w:pPr>
    </w:p>
    <w:p w14:paraId="5C133979" w14:textId="77777777" w:rsidR="00573E1A" w:rsidRPr="00C16207" w:rsidRDefault="00573E1A" w:rsidP="00573E1A">
      <w:pPr>
        <w:widowControl/>
        <w:adjustRightInd w:val="0"/>
        <w:snapToGrid w:val="0"/>
        <w:rPr>
          <w:color w:val="000000"/>
          <w:lang w:val="en-GB" w:eastAsia="ko-KR"/>
        </w:rPr>
      </w:pPr>
      <w:r w:rsidRPr="00C16207">
        <w:rPr>
          <w:color w:val="000000"/>
          <w:lang w:val="en-GB" w:eastAsia="ko-KR"/>
        </w:rPr>
        <w:t xml:space="preserve">Celltrion Healthcare Hungary Kft. </w:t>
      </w:r>
    </w:p>
    <w:p w14:paraId="6890AD6C" w14:textId="77777777" w:rsidR="00573E1A" w:rsidRPr="00C16207" w:rsidRDefault="00573E1A" w:rsidP="00573E1A">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1159F99B" w14:textId="77777777" w:rsidR="00573E1A" w:rsidRPr="00C16207" w:rsidRDefault="00573E1A" w:rsidP="00573E1A">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4B3750">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43C95BF7" w14:textId="77777777" w:rsidR="00573E1A" w:rsidRPr="00C16207" w:rsidRDefault="00573E1A" w:rsidP="00573E1A">
      <w:pPr>
        <w:widowControl/>
        <w:adjustRightInd w:val="0"/>
        <w:snapToGrid w:val="0"/>
        <w:rPr>
          <w:color w:val="000000"/>
          <w:lang w:val="en-GB" w:eastAsia="ko-KR"/>
        </w:rPr>
      </w:pPr>
      <w:proofErr w:type="spellStart"/>
      <w:r>
        <w:rPr>
          <w:color w:val="000000"/>
          <w:lang w:val="en-GB" w:eastAsia="ko-KR"/>
        </w:rPr>
        <w:t>Ungarn</w:t>
      </w:r>
      <w:proofErr w:type="spellEnd"/>
    </w:p>
    <w:p w14:paraId="1ED9F676" w14:textId="77777777" w:rsidR="003563EF" w:rsidRPr="00051658" w:rsidRDefault="003563EF" w:rsidP="001278B6">
      <w:pPr>
        <w:pStyle w:val="a3"/>
        <w:widowControl/>
        <w:adjustRightInd w:val="0"/>
        <w:snapToGrid w:val="0"/>
        <w:rPr>
          <w:snapToGrid w:val="0"/>
        </w:rPr>
      </w:pPr>
    </w:p>
    <w:p w14:paraId="2AD0DDA4" w14:textId="77777777" w:rsidR="00087008" w:rsidRPr="00051658" w:rsidRDefault="00087008" w:rsidP="001278B6">
      <w:pPr>
        <w:pStyle w:val="a3"/>
        <w:widowControl/>
        <w:adjustRightInd w:val="0"/>
        <w:snapToGrid w:val="0"/>
        <w:rPr>
          <w:snapToGrid w:val="0"/>
        </w:rPr>
      </w:pPr>
    </w:p>
    <w:p w14:paraId="29D3AF13" w14:textId="77777777" w:rsidR="00087008" w:rsidRPr="001278B6" w:rsidRDefault="00087008" w:rsidP="001278B6">
      <w:pPr>
        <w:widowControl/>
        <w:pBdr>
          <w:top w:val="single" w:sz="4" w:space="1" w:color="auto"/>
          <w:left w:val="single" w:sz="4" w:space="4" w:color="auto"/>
          <w:bottom w:val="single" w:sz="4" w:space="1" w:color="auto"/>
          <w:right w:val="single" w:sz="4" w:space="4" w:color="auto"/>
        </w:pBdr>
        <w:tabs>
          <w:tab w:val="left" w:pos="669"/>
        </w:tabs>
        <w:spacing w:before="1"/>
        <w:rPr>
          <w:b/>
          <w:lang w:val="da-DK"/>
        </w:rPr>
      </w:pPr>
      <w:r w:rsidRPr="001278B6">
        <w:rPr>
          <w:b/>
          <w:spacing w:val="-5"/>
          <w:lang w:val="da-DK"/>
        </w:rPr>
        <w:t>12.</w:t>
      </w:r>
      <w:r w:rsidRPr="001278B6">
        <w:rPr>
          <w:b/>
          <w:lang w:val="da-DK"/>
        </w:rPr>
        <w:tab/>
      </w:r>
      <w:r w:rsidRPr="001278B6">
        <w:rPr>
          <w:b/>
          <w:spacing w:val="-2"/>
          <w:lang w:val="da-DK"/>
        </w:rPr>
        <w:t>MARKEDSFØRINGSTILLADELSESNUMMER</w:t>
      </w:r>
      <w:r w:rsidRPr="001278B6">
        <w:rPr>
          <w:b/>
          <w:spacing w:val="29"/>
          <w:lang w:val="da-DK"/>
        </w:rPr>
        <w:t xml:space="preserve"> </w:t>
      </w:r>
      <w:r w:rsidRPr="001278B6">
        <w:rPr>
          <w:b/>
          <w:spacing w:val="-2"/>
          <w:lang w:val="da-DK"/>
        </w:rPr>
        <w:t>(NUMRE)</w:t>
      </w:r>
    </w:p>
    <w:p w14:paraId="38F04538" w14:textId="77777777" w:rsidR="003563EF" w:rsidRPr="001278B6" w:rsidRDefault="003563EF" w:rsidP="001278B6">
      <w:pPr>
        <w:pStyle w:val="a3"/>
        <w:widowControl/>
        <w:adjustRightInd w:val="0"/>
        <w:snapToGrid w:val="0"/>
        <w:rPr>
          <w:snapToGrid w:val="0"/>
          <w:lang w:val="da-DK"/>
        </w:rPr>
      </w:pPr>
    </w:p>
    <w:p w14:paraId="749C3C99" w14:textId="07DD10D4" w:rsidR="00573E1A" w:rsidRPr="00D31843" w:rsidRDefault="001D1422" w:rsidP="00573E1A">
      <w:pPr>
        <w:widowControl/>
        <w:adjustRightInd w:val="0"/>
        <w:snapToGrid w:val="0"/>
        <w:rPr>
          <w:rFonts w:eastAsia="바탕"/>
          <w:color w:val="000000"/>
          <w:highlight w:val="lightGray"/>
          <w:lang w:val="da-DK"/>
        </w:rPr>
      </w:pPr>
      <w:r w:rsidRPr="001D1422">
        <w:rPr>
          <w:rFonts w:eastAsia="바탕"/>
          <w:color w:val="000000"/>
          <w:lang w:val="da-DK"/>
        </w:rPr>
        <w:t xml:space="preserve">EU/1/22/1667/001 </w:t>
      </w:r>
      <w:r w:rsidR="00573E1A" w:rsidRPr="00D31843">
        <w:rPr>
          <w:rFonts w:eastAsia="바탕"/>
          <w:color w:val="000000"/>
          <w:highlight w:val="lightGray"/>
          <w:lang w:val="da-DK"/>
        </w:rPr>
        <w:t>1 hætteglas</w:t>
      </w:r>
    </w:p>
    <w:p w14:paraId="28CDAFD2" w14:textId="46DB5A66" w:rsidR="00573E1A" w:rsidRPr="00515644" w:rsidRDefault="001D1422" w:rsidP="00573E1A">
      <w:pPr>
        <w:widowControl/>
        <w:adjustRightInd w:val="0"/>
        <w:snapToGrid w:val="0"/>
        <w:rPr>
          <w:noProof/>
          <w:color w:val="000000"/>
          <w:lang w:val="da-DK"/>
        </w:rPr>
      </w:pPr>
      <w:r w:rsidRPr="00F466A3">
        <w:rPr>
          <w:rFonts w:eastAsia="바탕"/>
          <w:color w:val="000000"/>
          <w:highlight w:val="lightGray"/>
          <w:lang w:val="da-DK"/>
        </w:rPr>
        <w:t xml:space="preserve">EU/1/22/1667/003 </w:t>
      </w:r>
      <w:r w:rsidR="00573E1A" w:rsidRPr="00D31843">
        <w:rPr>
          <w:rFonts w:eastAsia="바탕"/>
          <w:color w:val="000000"/>
          <w:highlight w:val="lightGray"/>
          <w:lang w:val="da-DK"/>
        </w:rPr>
        <w:t>10 hætteglas</w:t>
      </w:r>
    </w:p>
    <w:p w14:paraId="75DED70A" w14:textId="77777777" w:rsidR="003563EF" w:rsidRPr="001278B6" w:rsidRDefault="003563EF" w:rsidP="001278B6">
      <w:pPr>
        <w:pStyle w:val="a3"/>
        <w:widowControl/>
        <w:adjustRightInd w:val="0"/>
        <w:snapToGrid w:val="0"/>
        <w:rPr>
          <w:snapToGrid w:val="0"/>
          <w:lang w:val="da-DK"/>
        </w:rPr>
      </w:pPr>
    </w:p>
    <w:p w14:paraId="00EC8CFA" w14:textId="77777777" w:rsidR="00087008" w:rsidRPr="001278B6" w:rsidRDefault="00087008" w:rsidP="001278B6">
      <w:pPr>
        <w:pStyle w:val="a3"/>
        <w:widowControl/>
        <w:adjustRightInd w:val="0"/>
        <w:snapToGrid w:val="0"/>
        <w:rPr>
          <w:snapToGrid w:val="0"/>
          <w:lang w:val="da-DK"/>
        </w:rPr>
      </w:pPr>
    </w:p>
    <w:p w14:paraId="0DE90D7E" w14:textId="77777777" w:rsidR="00087008" w:rsidRPr="001278B6" w:rsidRDefault="00087008"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13.</w:t>
      </w:r>
      <w:r w:rsidRPr="001278B6">
        <w:rPr>
          <w:b/>
          <w:lang w:val="da-DK"/>
        </w:rPr>
        <w:tab/>
      </w:r>
      <w:r w:rsidRPr="001278B6">
        <w:rPr>
          <w:b/>
          <w:spacing w:val="-2"/>
          <w:lang w:val="da-DK"/>
        </w:rPr>
        <w:t>BATCHNUMMER</w:t>
      </w:r>
    </w:p>
    <w:p w14:paraId="40B756DE" w14:textId="77777777" w:rsidR="003563EF" w:rsidRPr="001278B6" w:rsidRDefault="003563EF" w:rsidP="001278B6">
      <w:pPr>
        <w:pStyle w:val="a3"/>
        <w:widowControl/>
        <w:adjustRightInd w:val="0"/>
        <w:snapToGrid w:val="0"/>
        <w:rPr>
          <w:snapToGrid w:val="0"/>
          <w:lang w:val="da-DK"/>
        </w:rPr>
      </w:pPr>
    </w:p>
    <w:p w14:paraId="548C5B8D" w14:textId="77777777" w:rsidR="003563EF" w:rsidRPr="001278B6" w:rsidRDefault="004520E1" w:rsidP="001278B6">
      <w:pPr>
        <w:pStyle w:val="a3"/>
        <w:widowControl/>
        <w:adjustRightInd w:val="0"/>
        <w:snapToGrid w:val="0"/>
        <w:rPr>
          <w:snapToGrid w:val="0"/>
          <w:lang w:val="da-DK"/>
        </w:rPr>
      </w:pPr>
      <w:r>
        <w:rPr>
          <w:snapToGrid w:val="0"/>
          <w:lang w:val="da-DK"/>
        </w:rPr>
        <w:t>Lot</w:t>
      </w:r>
      <w:r w:rsidR="00573E1A">
        <w:rPr>
          <w:snapToGrid w:val="0"/>
          <w:lang w:val="da-DK"/>
        </w:rPr>
        <w:t>:</w:t>
      </w:r>
    </w:p>
    <w:p w14:paraId="27A10ABD" w14:textId="77777777" w:rsidR="003563EF" w:rsidRPr="001278B6" w:rsidRDefault="003563EF" w:rsidP="001278B6">
      <w:pPr>
        <w:pStyle w:val="a3"/>
        <w:widowControl/>
        <w:adjustRightInd w:val="0"/>
        <w:snapToGrid w:val="0"/>
        <w:rPr>
          <w:snapToGrid w:val="0"/>
          <w:lang w:val="da-DK"/>
        </w:rPr>
      </w:pPr>
    </w:p>
    <w:p w14:paraId="6825B851" w14:textId="77777777" w:rsidR="00C92B66" w:rsidRPr="001278B6" w:rsidRDefault="00C92B66" w:rsidP="001278B6">
      <w:pPr>
        <w:pStyle w:val="a3"/>
        <w:widowControl/>
        <w:adjustRightInd w:val="0"/>
        <w:snapToGrid w:val="0"/>
        <w:rPr>
          <w:snapToGrid w:val="0"/>
          <w:lang w:val="da-DK"/>
        </w:rPr>
      </w:pPr>
    </w:p>
    <w:p w14:paraId="0A1CFC75" w14:textId="77777777" w:rsidR="00C92B66" w:rsidRPr="001278B6" w:rsidRDefault="00C92B66"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14.</w:t>
      </w:r>
      <w:r w:rsidRPr="001278B6">
        <w:rPr>
          <w:b/>
          <w:lang w:val="da-DK"/>
        </w:rPr>
        <w:tab/>
        <w:t>GENEREL</w:t>
      </w:r>
      <w:r w:rsidRPr="001278B6">
        <w:rPr>
          <w:b/>
          <w:spacing w:val="-7"/>
          <w:lang w:val="da-DK"/>
        </w:rPr>
        <w:t xml:space="preserve"> </w:t>
      </w:r>
      <w:r w:rsidRPr="001278B6">
        <w:rPr>
          <w:b/>
          <w:lang w:val="da-DK"/>
        </w:rPr>
        <w:t>KLASSIFIKATION</w:t>
      </w:r>
      <w:r w:rsidRPr="001278B6">
        <w:rPr>
          <w:b/>
          <w:spacing w:val="-9"/>
          <w:lang w:val="da-DK"/>
        </w:rPr>
        <w:t xml:space="preserve"> </w:t>
      </w:r>
      <w:r w:rsidRPr="001278B6">
        <w:rPr>
          <w:b/>
          <w:lang w:val="da-DK"/>
        </w:rPr>
        <w:t>FOR</w:t>
      </w:r>
      <w:r w:rsidRPr="001278B6">
        <w:rPr>
          <w:b/>
          <w:spacing w:val="-6"/>
          <w:lang w:val="da-DK"/>
        </w:rPr>
        <w:t xml:space="preserve"> </w:t>
      </w:r>
      <w:r w:rsidRPr="001278B6">
        <w:rPr>
          <w:b/>
          <w:spacing w:val="-2"/>
          <w:lang w:val="da-DK"/>
        </w:rPr>
        <w:t>UDLEVERING</w:t>
      </w:r>
    </w:p>
    <w:p w14:paraId="150DBFBE" w14:textId="77777777" w:rsidR="003563EF" w:rsidRPr="001278B6" w:rsidRDefault="003563EF" w:rsidP="001278B6">
      <w:pPr>
        <w:pStyle w:val="a3"/>
        <w:widowControl/>
        <w:adjustRightInd w:val="0"/>
        <w:snapToGrid w:val="0"/>
        <w:rPr>
          <w:snapToGrid w:val="0"/>
          <w:lang w:val="da-DK"/>
        </w:rPr>
      </w:pPr>
    </w:p>
    <w:p w14:paraId="4B818815" w14:textId="77777777" w:rsidR="003563EF" w:rsidRPr="001278B6" w:rsidRDefault="00473235" w:rsidP="001278B6">
      <w:pPr>
        <w:pStyle w:val="a3"/>
        <w:widowControl/>
        <w:adjustRightInd w:val="0"/>
        <w:snapToGrid w:val="0"/>
        <w:rPr>
          <w:snapToGrid w:val="0"/>
          <w:lang w:val="da-DK"/>
        </w:rPr>
      </w:pPr>
      <w:r w:rsidRPr="001278B6">
        <w:rPr>
          <w:snapToGrid w:val="0"/>
          <w:lang w:val="da-DK"/>
        </w:rPr>
        <w:t>Receptpligtigt lægemiddel</w:t>
      </w:r>
    </w:p>
    <w:p w14:paraId="434E5FFA" w14:textId="77777777" w:rsidR="003563EF" w:rsidRPr="001278B6" w:rsidRDefault="003563EF" w:rsidP="001278B6">
      <w:pPr>
        <w:pStyle w:val="a3"/>
        <w:widowControl/>
        <w:adjustRightInd w:val="0"/>
        <w:snapToGrid w:val="0"/>
        <w:rPr>
          <w:snapToGrid w:val="0"/>
          <w:lang w:val="da-DK"/>
        </w:rPr>
      </w:pPr>
    </w:p>
    <w:p w14:paraId="30C4C533" w14:textId="77777777" w:rsidR="00C92B66" w:rsidRPr="001278B6" w:rsidRDefault="00C92B66" w:rsidP="001278B6">
      <w:pPr>
        <w:pStyle w:val="a3"/>
        <w:widowControl/>
        <w:adjustRightInd w:val="0"/>
        <w:snapToGrid w:val="0"/>
        <w:rPr>
          <w:snapToGrid w:val="0"/>
          <w:lang w:val="da-DK"/>
        </w:rPr>
      </w:pPr>
    </w:p>
    <w:p w14:paraId="07CE0508" w14:textId="77777777" w:rsidR="00C92B66" w:rsidRPr="001278B6" w:rsidRDefault="00C92B66"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15.</w:t>
      </w:r>
      <w:r w:rsidRPr="001278B6">
        <w:rPr>
          <w:b/>
          <w:lang w:val="da-DK"/>
        </w:rPr>
        <w:tab/>
        <w:t>INSTRUKTIONER</w:t>
      </w:r>
      <w:r w:rsidRPr="001278B6">
        <w:rPr>
          <w:b/>
          <w:spacing w:val="-15"/>
          <w:lang w:val="da-DK"/>
        </w:rPr>
        <w:t xml:space="preserve"> </w:t>
      </w:r>
      <w:r w:rsidRPr="001278B6">
        <w:rPr>
          <w:b/>
          <w:lang w:val="da-DK"/>
        </w:rPr>
        <w:t>VEDRØRENDE</w:t>
      </w:r>
      <w:r w:rsidRPr="001278B6">
        <w:rPr>
          <w:b/>
          <w:spacing w:val="-12"/>
          <w:lang w:val="da-DK"/>
        </w:rPr>
        <w:t xml:space="preserve"> </w:t>
      </w:r>
      <w:r w:rsidRPr="001278B6">
        <w:rPr>
          <w:b/>
          <w:spacing w:val="-2"/>
          <w:lang w:val="da-DK"/>
        </w:rPr>
        <w:t>ANVENDELSEN</w:t>
      </w:r>
    </w:p>
    <w:p w14:paraId="05A3ACAC" w14:textId="77777777" w:rsidR="003563EF" w:rsidRPr="001278B6" w:rsidRDefault="003563EF" w:rsidP="001278B6">
      <w:pPr>
        <w:pStyle w:val="a3"/>
        <w:widowControl/>
        <w:adjustRightInd w:val="0"/>
        <w:snapToGrid w:val="0"/>
        <w:rPr>
          <w:snapToGrid w:val="0"/>
          <w:lang w:val="da-DK"/>
        </w:rPr>
      </w:pPr>
    </w:p>
    <w:p w14:paraId="7323EEC4" w14:textId="77777777" w:rsidR="00C92B66" w:rsidRPr="001278B6" w:rsidRDefault="00C92B66" w:rsidP="001278B6">
      <w:pPr>
        <w:pStyle w:val="a3"/>
        <w:widowControl/>
        <w:adjustRightInd w:val="0"/>
        <w:snapToGrid w:val="0"/>
        <w:rPr>
          <w:snapToGrid w:val="0"/>
          <w:lang w:val="da-DK"/>
        </w:rPr>
      </w:pPr>
    </w:p>
    <w:p w14:paraId="448BBC74" w14:textId="77777777" w:rsidR="00C92B66" w:rsidRPr="001278B6" w:rsidRDefault="00C92B66"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16.</w:t>
      </w:r>
      <w:r w:rsidRPr="001278B6">
        <w:rPr>
          <w:b/>
          <w:lang w:val="da-DK"/>
        </w:rPr>
        <w:tab/>
        <w:t>INFORMATION</w:t>
      </w:r>
      <w:r w:rsidRPr="001278B6">
        <w:rPr>
          <w:b/>
          <w:spacing w:val="-6"/>
          <w:lang w:val="da-DK"/>
        </w:rPr>
        <w:t xml:space="preserve"> </w:t>
      </w:r>
      <w:r w:rsidRPr="001278B6">
        <w:rPr>
          <w:b/>
          <w:lang w:val="da-DK"/>
        </w:rPr>
        <w:t>I</w:t>
      </w:r>
      <w:r w:rsidRPr="001278B6">
        <w:rPr>
          <w:b/>
          <w:spacing w:val="-5"/>
          <w:lang w:val="da-DK"/>
        </w:rPr>
        <w:t xml:space="preserve"> </w:t>
      </w:r>
      <w:r w:rsidRPr="001278B6">
        <w:rPr>
          <w:b/>
          <w:spacing w:val="-2"/>
          <w:lang w:val="da-DK"/>
        </w:rPr>
        <w:t>BRAILLESKRIFT</w:t>
      </w:r>
    </w:p>
    <w:p w14:paraId="3FC993AB" w14:textId="77777777" w:rsidR="003563EF" w:rsidRPr="001278B6" w:rsidRDefault="003563EF" w:rsidP="001278B6">
      <w:pPr>
        <w:pStyle w:val="a3"/>
        <w:widowControl/>
        <w:adjustRightInd w:val="0"/>
        <w:snapToGrid w:val="0"/>
        <w:rPr>
          <w:snapToGrid w:val="0"/>
          <w:lang w:val="da-DK"/>
        </w:rPr>
      </w:pPr>
    </w:p>
    <w:p w14:paraId="3332E5AF" w14:textId="77777777" w:rsidR="003563EF" w:rsidRPr="001278B6" w:rsidRDefault="00473235" w:rsidP="001278B6">
      <w:pPr>
        <w:pStyle w:val="a3"/>
        <w:widowControl/>
        <w:adjustRightInd w:val="0"/>
        <w:snapToGrid w:val="0"/>
        <w:rPr>
          <w:snapToGrid w:val="0"/>
          <w:lang w:val="da-DK"/>
        </w:rPr>
      </w:pPr>
      <w:r w:rsidRPr="001278B6">
        <w:rPr>
          <w:snapToGrid w:val="0"/>
          <w:color w:val="000000"/>
          <w:shd w:val="clear" w:color="auto" w:fill="D4D4D4"/>
          <w:lang w:val="da-DK"/>
        </w:rPr>
        <w:t>Fritaget for krav om blindeskrift</w:t>
      </w:r>
    </w:p>
    <w:p w14:paraId="42A226E4" w14:textId="77777777" w:rsidR="003563EF" w:rsidRPr="001278B6" w:rsidRDefault="003563EF" w:rsidP="001278B6">
      <w:pPr>
        <w:pStyle w:val="a3"/>
        <w:widowControl/>
        <w:adjustRightInd w:val="0"/>
        <w:snapToGrid w:val="0"/>
        <w:rPr>
          <w:snapToGrid w:val="0"/>
          <w:lang w:val="da-DK"/>
        </w:rPr>
      </w:pPr>
    </w:p>
    <w:p w14:paraId="61BADB22" w14:textId="77777777" w:rsidR="005C3865" w:rsidRPr="001278B6" w:rsidRDefault="005C3865" w:rsidP="001278B6">
      <w:pPr>
        <w:pStyle w:val="a3"/>
        <w:widowControl/>
        <w:adjustRightInd w:val="0"/>
        <w:snapToGrid w:val="0"/>
        <w:rPr>
          <w:snapToGrid w:val="0"/>
          <w:lang w:val="da-DK"/>
        </w:rPr>
      </w:pPr>
    </w:p>
    <w:p w14:paraId="58758D2E" w14:textId="77777777" w:rsidR="003563EF" w:rsidRPr="001278B6" w:rsidRDefault="005C3865" w:rsidP="001278B6">
      <w:pPr>
        <w:widowControl/>
        <w:pBdr>
          <w:top w:val="single" w:sz="4" w:space="1" w:color="auto"/>
          <w:left w:val="single" w:sz="4" w:space="4" w:color="auto"/>
          <w:bottom w:val="single" w:sz="4" w:space="1" w:color="auto"/>
          <w:right w:val="single" w:sz="4" w:space="4" w:color="auto"/>
        </w:pBdr>
        <w:tabs>
          <w:tab w:val="left" w:pos="674"/>
        </w:tabs>
        <w:spacing w:before="20"/>
        <w:rPr>
          <w:b/>
          <w:lang w:val="da-DK"/>
        </w:rPr>
      </w:pPr>
      <w:r w:rsidRPr="001278B6">
        <w:rPr>
          <w:b/>
          <w:spacing w:val="-5"/>
          <w:lang w:val="da-DK"/>
        </w:rPr>
        <w:t>17</w:t>
      </w:r>
      <w:r w:rsidRPr="001278B6">
        <w:rPr>
          <w:b/>
          <w:lang w:val="da-DK"/>
        </w:rPr>
        <w:tab/>
        <w:t>ENTYDIG</w:t>
      </w:r>
      <w:r w:rsidRPr="001278B6">
        <w:rPr>
          <w:b/>
          <w:spacing w:val="-8"/>
          <w:lang w:val="da-DK"/>
        </w:rPr>
        <w:t xml:space="preserve"> </w:t>
      </w:r>
      <w:r w:rsidRPr="001278B6">
        <w:rPr>
          <w:b/>
          <w:lang w:val="da-DK"/>
        </w:rPr>
        <w:t>IDENTIFIKATOR</w:t>
      </w:r>
      <w:r w:rsidRPr="001278B6">
        <w:rPr>
          <w:b/>
          <w:spacing w:val="-6"/>
          <w:lang w:val="da-DK"/>
        </w:rPr>
        <w:t xml:space="preserve"> </w:t>
      </w:r>
      <w:r w:rsidRPr="001278B6">
        <w:rPr>
          <w:b/>
          <w:lang w:val="da-DK"/>
        </w:rPr>
        <w:t>–</w:t>
      </w:r>
      <w:r w:rsidRPr="001278B6">
        <w:rPr>
          <w:b/>
          <w:spacing w:val="-5"/>
          <w:lang w:val="da-DK"/>
        </w:rPr>
        <w:t xml:space="preserve"> </w:t>
      </w:r>
      <w:r w:rsidRPr="001278B6">
        <w:rPr>
          <w:b/>
          <w:lang w:val="da-DK"/>
        </w:rPr>
        <w:t>2D</w:t>
      </w:r>
      <w:r w:rsidR="004B3750">
        <w:rPr>
          <w:b/>
          <w:lang w:val="da-DK"/>
        </w:rPr>
        <w:noBreakHyphen/>
      </w:r>
      <w:r w:rsidRPr="001278B6">
        <w:rPr>
          <w:b/>
          <w:spacing w:val="-2"/>
          <w:lang w:val="da-DK"/>
        </w:rPr>
        <w:t>STREGKODE</w:t>
      </w:r>
    </w:p>
    <w:p w14:paraId="30B5F1C8" w14:textId="77777777" w:rsidR="003563EF" w:rsidRPr="001278B6" w:rsidRDefault="003563EF" w:rsidP="001278B6">
      <w:pPr>
        <w:pStyle w:val="a3"/>
        <w:widowControl/>
        <w:adjustRightInd w:val="0"/>
        <w:snapToGrid w:val="0"/>
        <w:rPr>
          <w:snapToGrid w:val="0"/>
          <w:lang w:val="da-DK"/>
        </w:rPr>
      </w:pPr>
    </w:p>
    <w:p w14:paraId="4F0957DA" w14:textId="77777777" w:rsidR="003563EF" w:rsidRPr="001278B6" w:rsidRDefault="00473235" w:rsidP="001278B6">
      <w:pPr>
        <w:pStyle w:val="a3"/>
        <w:widowControl/>
        <w:adjustRightInd w:val="0"/>
        <w:snapToGrid w:val="0"/>
        <w:rPr>
          <w:snapToGrid w:val="0"/>
          <w:lang w:val="da-DK"/>
        </w:rPr>
      </w:pPr>
      <w:r w:rsidRPr="001278B6">
        <w:rPr>
          <w:snapToGrid w:val="0"/>
          <w:color w:val="000000"/>
          <w:shd w:val="clear" w:color="auto" w:fill="D4D4D4"/>
          <w:lang w:val="da-DK"/>
        </w:rPr>
        <w:t>Der er anført en 2D</w:t>
      </w:r>
      <w:r w:rsidR="004B3750">
        <w:rPr>
          <w:snapToGrid w:val="0"/>
          <w:color w:val="000000"/>
          <w:shd w:val="clear" w:color="auto" w:fill="D4D4D4"/>
          <w:lang w:val="da-DK"/>
        </w:rPr>
        <w:noBreakHyphen/>
      </w:r>
      <w:r w:rsidRPr="001278B6">
        <w:rPr>
          <w:snapToGrid w:val="0"/>
          <w:color w:val="000000"/>
          <w:shd w:val="clear" w:color="auto" w:fill="D4D4D4"/>
          <w:lang w:val="da-DK"/>
        </w:rPr>
        <w:t>stregkode, som indeholder en entydig identifikator.</w:t>
      </w:r>
    </w:p>
    <w:p w14:paraId="347C2A00" w14:textId="77777777" w:rsidR="003563EF" w:rsidRPr="001278B6" w:rsidRDefault="003563EF" w:rsidP="001278B6">
      <w:pPr>
        <w:pStyle w:val="a3"/>
        <w:widowControl/>
        <w:adjustRightInd w:val="0"/>
        <w:snapToGrid w:val="0"/>
        <w:rPr>
          <w:snapToGrid w:val="0"/>
          <w:lang w:val="da-DK"/>
        </w:rPr>
      </w:pPr>
    </w:p>
    <w:p w14:paraId="1A6419BE" w14:textId="77777777" w:rsidR="005C3865" w:rsidRPr="001278B6" w:rsidRDefault="005C3865" w:rsidP="001278B6">
      <w:pPr>
        <w:pStyle w:val="a3"/>
        <w:widowControl/>
        <w:adjustRightInd w:val="0"/>
        <w:snapToGrid w:val="0"/>
        <w:rPr>
          <w:snapToGrid w:val="0"/>
          <w:lang w:val="da-DK"/>
        </w:rPr>
      </w:pPr>
    </w:p>
    <w:p w14:paraId="0D3C5C67" w14:textId="77777777" w:rsidR="003563EF" w:rsidRPr="001278B6" w:rsidRDefault="005C3865" w:rsidP="001278B6">
      <w:pPr>
        <w:widowControl/>
        <w:pBdr>
          <w:top w:val="single" w:sz="4" w:space="1" w:color="auto"/>
          <w:left w:val="single" w:sz="4" w:space="4" w:color="auto"/>
          <w:bottom w:val="single" w:sz="4" w:space="1" w:color="auto"/>
          <w:right w:val="single" w:sz="4" w:space="4" w:color="auto"/>
        </w:pBdr>
        <w:tabs>
          <w:tab w:val="left" w:pos="674"/>
        </w:tabs>
        <w:spacing w:before="20"/>
        <w:rPr>
          <w:b/>
          <w:lang w:val="da-DK"/>
        </w:rPr>
      </w:pPr>
      <w:r w:rsidRPr="001278B6">
        <w:rPr>
          <w:b/>
          <w:spacing w:val="-5"/>
          <w:lang w:val="da-DK"/>
        </w:rPr>
        <w:t>18.</w:t>
      </w:r>
      <w:r w:rsidRPr="001278B6">
        <w:rPr>
          <w:b/>
          <w:lang w:val="da-DK"/>
        </w:rPr>
        <w:tab/>
        <w:t>ENTYDIG</w:t>
      </w:r>
      <w:r w:rsidRPr="001278B6">
        <w:rPr>
          <w:b/>
          <w:spacing w:val="-9"/>
          <w:lang w:val="da-DK"/>
        </w:rPr>
        <w:t xml:space="preserve"> </w:t>
      </w:r>
      <w:r w:rsidRPr="001278B6">
        <w:rPr>
          <w:b/>
          <w:lang w:val="da-DK"/>
        </w:rPr>
        <w:t>IDENTIFIKATOR</w:t>
      </w:r>
      <w:r w:rsidRPr="001278B6">
        <w:rPr>
          <w:b/>
          <w:spacing w:val="-7"/>
          <w:lang w:val="da-DK"/>
        </w:rPr>
        <w:t xml:space="preserve"> </w:t>
      </w:r>
      <w:r w:rsidR="004B3750">
        <w:rPr>
          <w:b/>
          <w:lang w:val="da-DK"/>
        </w:rPr>
        <w:noBreakHyphen/>
      </w:r>
      <w:r w:rsidRPr="001278B6">
        <w:rPr>
          <w:b/>
          <w:spacing w:val="-6"/>
          <w:lang w:val="da-DK"/>
        </w:rPr>
        <w:t xml:space="preserve"> </w:t>
      </w:r>
      <w:r w:rsidRPr="001278B6">
        <w:rPr>
          <w:b/>
          <w:lang w:val="da-DK"/>
        </w:rPr>
        <w:t>MENNESKELIGT</w:t>
      </w:r>
      <w:r w:rsidRPr="001278B6">
        <w:rPr>
          <w:b/>
          <w:spacing w:val="-7"/>
          <w:lang w:val="da-DK"/>
        </w:rPr>
        <w:t xml:space="preserve"> </w:t>
      </w:r>
      <w:r w:rsidRPr="001278B6">
        <w:rPr>
          <w:b/>
          <w:lang w:val="da-DK"/>
        </w:rPr>
        <w:t>LÆSBARE</w:t>
      </w:r>
      <w:r w:rsidRPr="001278B6">
        <w:rPr>
          <w:b/>
          <w:spacing w:val="-7"/>
          <w:lang w:val="da-DK"/>
        </w:rPr>
        <w:t xml:space="preserve"> </w:t>
      </w:r>
      <w:r w:rsidRPr="001278B6">
        <w:rPr>
          <w:b/>
          <w:spacing w:val="-4"/>
          <w:lang w:val="da-DK"/>
        </w:rPr>
        <w:t>DATA</w:t>
      </w:r>
    </w:p>
    <w:p w14:paraId="5FB18EBE" w14:textId="77777777" w:rsidR="003563EF" w:rsidRPr="001278B6" w:rsidRDefault="003563EF" w:rsidP="001278B6">
      <w:pPr>
        <w:pStyle w:val="a3"/>
        <w:widowControl/>
        <w:adjustRightInd w:val="0"/>
        <w:snapToGrid w:val="0"/>
        <w:rPr>
          <w:snapToGrid w:val="0"/>
          <w:lang w:val="da-DK"/>
        </w:rPr>
      </w:pPr>
    </w:p>
    <w:p w14:paraId="39BDF91F" w14:textId="77777777" w:rsidR="008D3DC8" w:rsidRDefault="00473235" w:rsidP="006D0605">
      <w:pPr>
        <w:pStyle w:val="a3"/>
        <w:widowControl/>
        <w:adjustRightInd w:val="0"/>
        <w:snapToGrid w:val="0"/>
        <w:jc w:val="both"/>
        <w:rPr>
          <w:snapToGrid w:val="0"/>
          <w:lang w:val="da-DK"/>
        </w:rPr>
      </w:pPr>
      <w:r w:rsidRPr="001278B6">
        <w:rPr>
          <w:snapToGrid w:val="0"/>
          <w:lang w:val="da-DK"/>
        </w:rPr>
        <w:t>PC</w:t>
      </w:r>
    </w:p>
    <w:p w14:paraId="480AFBE5" w14:textId="77777777" w:rsidR="008D3DC8" w:rsidRDefault="00473235" w:rsidP="006D0605">
      <w:pPr>
        <w:pStyle w:val="a3"/>
        <w:widowControl/>
        <w:adjustRightInd w:val="0"/>
        <w:snapToGrid w:val="0"/>
        <w:jc w:val="both"/>
        <w:rPr>
          <w:snapToGrid w:val="0"/>
          <w:lang w:val="da-DK"/>
        </w:rPr>
      </w:pPr>
      <w:r w:rsidRPr="001278B6">
        <w:rPr>
          <w:snapToGrid w:val="0"/>
          <w:lang w:val="da-DK"/>
        </w:rPr>
        <w:t>SN</w:t>
      </w:r>
    </w:p>
    <w:p w14:paraId="686E4DAA"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NN</w:t>
      </w:r>
    </w:p>
    <w:p w14:paraId="6AA66BEA" w14:textId="77777777" w:rsidR="00761D73" w:rsidRPr="001278B6" w:rsidRDefault="00B82C85" w:rsidP="001278B6">
      <w:pPr>
        <w:widowControl/>
        <w:pBdr>
          <w:top w:val="single" w:sz="4" w:space="1" w:color="auto"/>
          <w:left w:val="single" w:sz="4" w:space="4" w:color="auto"/>
          <w:bottom w:val="single" w:sz="4" w:space="1" w:color="auto"/>
          <w:right w:val="single" w:sz="4" w:space="4" w:color="auto"/>
        </w:pBdr>
        <w:spacing w:before="1"/>
        <w:rPr>
          <w:b/>
          <w:lang w:val="da-DK"/>
        </w:rPr>
      </w:pPr>
      <w:r w:rsidRPr="001278B6">
        <w:rPr>
          <w:snapToGrid w:val="0"/>
          <w:lang w:val="da-DK"/>
        </w:rPr>
        <w:br w:type="page"/>
      </w:r>
      <w:r w:rsidR="00761D73" w:rsidRPr="001278B6">
        <w:rPr>
          <w:b/>
          <w:lang w:val="da-DK"/>
        </w:rPr>
        <w:lastRenderedPageBreak/>
        <w:t>MINDSTEKRAV</w:t>
      </w:r>
      <w:r w:rsidR="00761D73" w:rsidRPr="001278B6">
        <w:rPr>
          <w:b/>
          <w:spacing w:val="-8"/>
          <w:lang w:val="da-DK"/>
        </w:rPr>
        <w:t xml:space="preserve"> </w:t>
      </w:r>
      <w:r w:rsidR="00761D73" w:rsidRPr="001278B6">
        <w:rPr>
          <w:b/>
          <w:lang w:val="da-DK"/>
        </w:rPr>
        <w:t>TIL</w:t>
      </w:r>
      <w:r w:rsidR="00761D73" w:rsidRPr="001278B6">
        <w:rPr>
          <w:b/>
          <w:spacing w:val="-6"/>
          <w:lang w:val="da-DK"/>
        </w:rPr>
        <w:t xml:space="preserve"> </w:t>
      </w:r>
      <w:r w:rsidR="00761D73" w:rsidRPr="001278B6">
        <w:rPr>
          <w:b/>
          <w:lang w:val="da-DK"/>
        </w:rPr>
        <w:t>MÆRKNING</w:t>
      </w:r>
      <w:r w:rsidR="00761D73" w:rsidRPr="001278B6">
        <w:rPr>
          <w:b/>
          <w:spacing w:val="-8"/>
          <w:lang w:val="da-DK"/>
        </w:rPr>
        <w:t xml:space="preserve"> </w:t>
      </w:r>
      <w:r w:rsidR="00761D73" w:rsidRPr="001278B6">
        <w:rPr>
          <w:b/>
          <w:lang w:val="da-DK"/>
        </w:rPr>
        <w:t>PÅ</w:t>
      </w:r>
      <w:r w:rsidR="00761D73" w:rsidRPr="001278B6">
        <w:rPr>
          <w:b/>
          <w:spacing w:val="-5"/>
          <w:lang w:val="da-DK"/>
        </w:rPr>
        <w:t xml:space="preserve"> </w:t>
      </w:r>
      <w:r w:rsidR="00761D73" w:rsidRPr="001278B6">
        <w:rPr>
          <w:b/>
          <w:lang w:val="da-DK"/>
        </w:rPr>
        <w:t>SMÅ</w:t>
      </w:r>
      <w:r w:rsidR="00761D73" w:rsidRPr="001278B6">
        <w:rPr>
          <w:b/>
          <w:spacing w:val="-6"/>
          <w:lang w:val="da-DK"/>
        </w:rPr>
        <w:t xml:space="preserve"> </w:t>
      </w:r>
      <w:r w:rsidR="00761D73" w:rsidRPr="001278B6">
        <w:rPr>
          <w:b/>
          <w:lang w:val="da-DK"/>
        </w:rPr>
        <w:t>INDRE</w:t>
      </w:r>
      <w:r w:rsidR="00761D73" w:rsidRPr="001278B6">
        <w:rPr>
          <w:b/>
          <w:spacing w:val="-5"/>
          <w:lang w:val="da-DK"/>
        </w:rPr>
        <w:t xml:space="preserve"> </w:t>
      </w:r>
      <w:r w:rsidR="00761D73" w:rsidRPr="001278B6">
        <w:rPr>
          <w:b/>
          <w:spacing w:val="-2"/>
          <w:lang w:val="da-DK"/>
        </w:rPr>
        <w:t>EMBALLAGER</w:t>
      </w:r>
    </w:p>
    <w:p w14:paraId="0D86E533" w14:textId="77777777" w:rsidR="00761D73" w:rsidRPr="001278B6" w:rsidRDefault="00761D73" w:rsidP="001278B6">
      <w:pPr>
        <w:pStyle w:val="a3"/>
        <w:widowControl/>
        <w:pBdr>
          <w:top w:val="single" w:sz="4" w:space="1" w:color="auto"/>
          <w:left w:val="single" w:sz="4" w:space="4" w:color="auto"/>
          <w:bottom w:val="single" w:sz="4" w:space="1" w:color="auto"/>
          <w:right w:val="single" w:sz="4" w:space="4" w:color="auto"/>
        </w:pBdr>
        <w:spacing w:before="9"/>
        <w:rPr>
          <w:b/>
          <w:sz w:val="21"/>
          <w:lang w:val="da-DK"/>
        </w:rPr>
      </w:pPr>
    </w:p>
    <w:p w14:paraId="0B138C4E" w14:textId="77777777" w:rsidR="00761D73" w:rsidRPr="001278B6" w:rsidRDefault="00761D73" w:rsidP="001278B6">
      <w:pPr>
        <w:widowControl/>
        <w:pBdr>
          <w:top w:val="single" w:sz="4" w:space="1" w:color="auto"/>
          <w:left w:val="single" w:sz="4" w:space="4" w:color="auto"/>
          <w:bottom w:val="single" w:sz="4" w:space="1" w:color="auto"/>
          <w:right w:val="single" w:sz="4" w:space="4" w:color="auto"/>
        </w:pBdr>
        <w:rPr>
          <w:b/>
          <w:lang w:val="da-DK"/>
        </w:rPr>
      </w:pPr>
      <w:r w:rsidRPr="001278B6">
        <w:rPr>
          <w:b/>
          <w:spacing w:val="-2"/>
          <w:lang w:val="da-DK"/>
        </w:rPr>
        <w:t>HÆTTEGLAS</w:t>
      </w:r>
      <w:r w:rsidR="00573E1A">
        <w:rPr>
          <w:b/>
          <w:spacing w:val="-2"/>
          <w:lang w:val="da-DK"/>
        </w:rPr>
        <w:t>MÆRKAT</w:t>
      </w:r>
    </w:p>
    <w:p w14:paraId="07FA3759" w14:textId="77777777" w:rsidR="003563EF" w:rsidRPr="001278B6" w:rsidRDefault="003563EF" w:rsidP="001278B6">
      <w:pPr>
        <w:pStyle w:val="a3"/>
        <w:widowControl/>
        <w:adjustRightInd w:val="0"/>
        <w:snapToGrid w:val="0"/>
        <w:rPr>
          <w:snapToGrid w:val="0"/>
          <w:lang w:val="da-DK"/>
        </w:rPr>
      </w:pPr>
    </w:p>
    <w:p w14:paraId="252A0EDA" w14:textId="77777777" w:rsidR="003563EF" w:rsidRPr="001278B6" w:rsidRDefault="003563EF" w:rsidP="001278B6">
      <w:pPr>
        <w:pStyle w:val="a3"/>
        <w:widowControl/>
        <w:adjustRightInd w:val="0"/>
        <w:snapToGrid w:val="0"/>
        <w:rPr>
          <w:snapToGrid w:val="0"/>
          <w:lang w:val="da-DK"/>
        </w:rPr>
      </w:pPr>
    </w:p>
    <w:p w14:paraId="5988798A" w14:textId="77777777" w:rsidR="003563EF"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w:t>
      </w:r>
      <w:r w:rsidRPr="001278B6">
        <w:rPr>
          <w:b/>
          <w:lang w:val="da-DK"/>
        </w:rPr>
        <w:tab/>
        <w:t>LÆGEMIDLETS</w:t>
      </w:r>
      <w:r w:rsidRPr="001278B6">
        <w:rPr>
          <w:b/>
          <w:spacing w:val="-8"/>
          <w:lang w:val="da-DK"/>
        </w:rPr>
        <w:t xml:space="preserve"> </w:t>
      </w:r>
      <w:r w:rsidRPr="001278B6">
        <w:rPr>
          <w:b/>
          <w:lang w:val="da-DK"/>
        </w:rPr>
        <w:t>NAVN</w:t>
      </w:r>
      <w:r w:rsidRPr="001278B6">
        <w:rPr>
          <w:b/>
          <w:spacing w:val="-4"/>
          <w:lang w:val="da-DK"/>
        </w:rPr>
        <w:t xml:space="preserve"> </w:t>
      </w:r>
      <w:r w:rsidRPr="001278B6">
        <w:rPr>
          <w:b/>
          <w:lang w:val="da-DK"/>
        </w:rPr>
        <w:t>OG</w:t>
      </w:r>
      <w:r w:rsidRPr="001278B6">
        <w:rPr>
          <w:b/>
          <w:spacing w:val="-6"/>
          <w:lang w:val="da-DK"/>
        </w:rPr>
        <w:t xml:space="preserve"> </w:t>
      </w:r>
      <w:r w:rsidRPr="001278B6">
        <w:rPr>
          <w:b/>
          <w:spacing w:val="-2"/>
          <w:lang w:val="da-DK"/>
        </w:rPr>
        <w:t>ADMINISTRATIONSVEJ(E)</w:t>
      </w:r>
    </w:p>
    <w:p w14:paraId="63AB93C0" w14:textId="77777777" w:rsidR="003563EF" w:rsidRPr="001278B6" w:rsidRDefault="003563EF" w:rsidP="001278B6">
      <w:pPr>
        <w:pStyle w:val="a3"/>
        <w:widowControl/>
        <w:adjustRightInd w:val="0"/>
        <w:snapToGrid w:val="0"/>
        <w:rPr>
          <w:snapToGrid w:val="0"/>
          <w:lang w:val="da-DK"/>
        </w:rPr>
      </w:pPr>
    </w:p>
    <w:p w14:paraId="485006D0" w14:textId="6705AA3B" w:rsidR="00385BB7" w:rsidRDefault="00295FBB">
      <w:pPr>
        <w:pStyle w:val="a3"/>
        <w:widowControl/>
        <w:adjustRightInd w:val="0"/>
        <w:snapToGrid w:val="0"/>
        <w:rPr>
          <w:snapToGrid w:val="0"/>
          <w:lang w:val="da-DK"/>
        </w:rPr>
      </w:pPr>
      <w:r>
        <w:rPr>
          <w:snapToGrid w:val="0"/>
          <w:lang w:val="da-DK"/>
        </w:rPr>
        <w:t>Vegzelma</w:t>
      </w:r>
      <w:r w:rsidR="00452BDF">
        <w:rPr>
          <w:rFonts w:eastAsia="맑은 고딕" w:hint="eastAsia"/>
          <w:snapToGrid w:val="0"/>
          <w:lang w:val="da-DK" w:eastAsia="ko-KR"/>
        </w:rPr>
        <w:t xml:space="preserve"> </w:t>
      </w:r>
      <w:r w:rsidR="00473235" w:rsidRPr="001278B6">
        <w:rPr>
          <w:snapToGrid w:val="0"/>
          <w:lang w:val="da-DK"/>
        </w:rPr>
        <w:t>25</w:t>
      </w:r>
      <w:r w:rsidR="00D57B83">
        <w:rPr>
          <w:snapToGrid w:val="0"/>
          <w:lang w:val="da-DK"/>
        </w:rPr>
        <w:t> mg</w:t>
      </w:r>
      <w:r w:rsidR="00473235" w:rsidRPr="001278B6">
        <w:rPr>
          <w:snapToGrid w:val="0"/>
          <w:lang w:val="da-DK"/>
        </w:rPr>
        <w:t xml:space="preserve">/ml </w:t>
      </w:r>
      <w:r w:rsidR="00C01725">
        <w:rPr>
          <w:snapToGrid w:val="0"/>
          <w:lang w:val="da-DK"/>
        </w:rPr>
        <w:t xml:space="preserve">steril </w:t>
      </w:r>
      <w:r w:rsidR="00473235" w:rsidRPr="001278B6">
        <w:rPr>
          <w:snapToGrid w:val="0"/>
          <w:lang w:val="da-DK"/>
        </w:rPr>
        <w:t>koncentrat</w:t>
      </w:r>
    </w:p>
    <w:p w14:paraId="41224024"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w:t>
      </w:r>
    </w:p>
    <w:p w14:paraId="5A03721A" w14:textId="77777777" w:rsidR="003563EF" w:rsidRPr="001278B6" w:rsidRDefault="00473235" w:rsidP="001278B6">
      <w:pPr>
        <w:pStyle w:val="a3"/>
        <w:widowControl/>
        <w:adjustRightInd w:val="0"/>
        <w:snapToGrid w:val="0"/>
        <w:rPr>
          <w:snapToGrid w:val="0"/>
          <w:lang w:val="da-DK"/>
        </w:rPr>
      </w:pPr>
      <w:r w:rsidRPr="001278B6">
        <w:rPr>
          <w:snapToGrid w:val="0"/>
          <w:lang w:val="da-DK"/>
        </w:rPr>
        <w:t>i.v.</w:t>
      </w:r>
    </w:p>
    <w:p w14:paraId="513D4528" w14:textId="77777777" w:rsidR="003563EF" w:rsidRPr="001278B6" w:rsidRDefault="003563EF" w:rsidP="001278B6">
      <w:pPr>
        <w:pStyle w:val="a3"/>
        <w:widowControl/>
        <w:adjustRightInd w:val="0"/>
        <w:snapToGrid w:val="0"/>
        <w:rPr>
          <w:snapToGrid w:val="0"/>
          <w:lang w:val="da-DK"/>
        </w:rPr>
      </w:pPr>
    </w:p>
    <w:p w14:paraId="3692F715" w14:textId="77777777" w:rsidR="00761D73" w:rsidRPr="001278B6" w:rsidRDefault="00761D73" w:rsidP="001278B6">
      <w:pPr>
        <w:pStyle w:val="a3"/>
        <w:widowControl/>
        <w:adjustRightInd w:val="0"/>
        <w:snapToGrid w:val="0"/>
        <w:rPr>
          <w:snapToGrid w:val="0"/>
          <w:lang w:val="da-DK"/>
        </w:rPr>
      </w:pPr>
    </w:p>
    <w:p w14:paraId="3F1DBB84" w14:textId="77777777" w:rsidR="00761D73"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2.</w:t>
      </w:r>
      <w:r w:rsidRPr="001278B6">
        <w:rPr>
          <w:b/>
          <w:lang w:val="da-DK"/>
        </w:rPr>
        <w:tab/>
      </w:r>
      <w:r w:rsidRPr="001278B6">
        <w:rPr>
          <w:b/>
          <w:spacing w:val="-2"/>
          <w:lang w:val="da-DK"/>
        </w:rPr>
        <w:t>ADMINISTRATIONSMETODE</w:t>
      </w:r>
    </w:p>
    <w:p w14:paraId="72AF9D74" w14:textId="77777777" w:rsidR="003563EF" w:rsidRPr="001278B6" w:rsidRDefault="003563EF" w:rsidP="001278B6">
      <w:pPr>
        <w:pStyle w:val="a3"/>
        <w:widowControl/>
        <w:adjustRightInd w:val="0"/>
        <w:snapToGrid w:val="0"/>
        <w:rPr>
          <w:snapToGrid w:val="0"/>
          <w:lang w:val="da-DK"/>
        </w:rPr>
      </w:pPr>
    </w:p>
    <w:p w14:paraId="56385790" w14:textId="5C4459AC" w:rsidR="003563EF" w:rsidRPr="001278B6" w:rsidRDefault="00473235" w:rsidP="001278B6">
      <w:pPr>
        <w:pStyle w:val="a3"/>
        <w:widowControl/>
        <w:adjustRightInd w:val="0"/>
        <w:snapToGrid w:val="0"/>
        <w:rPr>
          <w:snapToGrid w:val="0"/>
          <w:lang w:val="da-DK"/>
        </w:rPr>
      </w:pPr>
      <w:r w:rsidRPr="001278B6">
        <w:rPr>
          <w:snapToGrid w:val="0"/>
          <w:lang w:val="da-DK"/>
        </w:rPr>
        <w:t xml:space="preserve">Til </w:t>
      </w:r>
      <w:r w:rsidR="001D1422" w:rsidRPr="001D1422">
        <w:rPr>
          <w:snapToGrid w:val="0"/>
          <w:lang w:val="da-DK"/>
        </w:rPr>
        <w:t>IV-brug</w:t>
      </w:r>
      <w:r w:rsidR="001D1422">
        <w:rPr>
          <w:snapToGrid w:val="0"/>
          <w:lang w:val="da-DK"/>
        </w:rPr>
        <w:t xml:space="preserve"> </w:t>
      </w:r>
      <w:r w:rsidRPr="001278B6">
        <w:rPr>
          <w:snapToGrid w:val="0"/>
          <w:lang w:val="da-DK"/>
        </w:rPr>
        <w:t>efter fortynding</w:t>
      </w:r>
    </w:p>
    <w:p w14:paraId="4A8402DB" w14:textId="77777777" w:rsidR="003563EF" w:rsidRPr="001278B6" w:rsidRDefault="003563EF" w:rsidP="001278B6">
      <w:pPr>
        <w:pStyle w:val="a3"/>
        <w:widowControl/>
        <w:adjustRightInd w:val="0"/>
        <w:snapToGrid w:val="0"/>
        <w:rPr>
          <w:snapToGrid w:val="0"/>
          <w:lang w:val="da-DK"/>
        </w:rPr>
      </w:pPr>
    </w:p>
    <w:p w14:paraId="456E79B4" w14:textId="77777777" w:rsidR="00761D73" w:rsidRPr="001278B6" w:rsidRDefault="00761D73" w:rsidP="001278B6">
      <w:pPr>
        <w:pStyle w:val="a3"/>
        <w:widowControl/>
        <w:adjustRightInd w:val="0"/>
        <w:snapToGrid w:val="0"/>
        <w:rPr>
          <w:snapToGrid w:val="0"/>
          <w:lang w:val="da-DK"/>
        </w:rPr>
      </w:pPr>
    </w:p>
    <w:p w14:paraId="3A3FC8AE" w14:textId="77777777" w:rsidR="00761D73"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before="1"/>
        <w:rPr>
          <w:b/>
          <w:lang w:val="da-DK"/>
        </w:rPr>
      </w:pPr>
      <w:r w:rsidRPr="001278B6">
        <w:rPr>
          <w:b/>
          <w:spacing w:val="-5"/>
          <w:lang w:val="da-DK"/>
        </w:rPr>
        <w:t>3.</w:t>
      </w:r>
      <w:r w:rsidRPr="001278B6">
        <w:rPr>
          <w:b/>
          <w:lang w:val="da-DK"/>
        </w:rPr>
        <w:tab/>
      </w:r>
      <w:r w:rsidRPr="001278B6">
        <w:rPr>
          <w:b/>
          <w:spacing w:val="-2"/>
          <w:lang w:val="da-DK"/>
        </w:rPr>
        <w:t>UDLØBSDATO</w:t>
      </w:r>
    </w:p>
    <w:p w14:paraId="3C029054" w14:textId="77777777" w:rsidR="003563EF" w:rsidRPr="001278B6" w:rsidRDefault="003563EF" w:rsidP="001278B6">
      <w:pPr>
        <w:pStyle w:val="a3"/>
        <w:widowControl/>
        <w:adjustRightInd w:val="0"/>
        <w:snapToGrid w:val="0"/>
        <w:rPr>
          <w:snapToGrid w:val="0"/>
          <w:lang w:val="da-DK"/>
        </w:rPr>
      </w:pPr>
    </w:p>
    <w:p w14:paraId="4967CD8B" w14:textId="77777777" w:rsidR="003563EF" w:rsidRPr="001278B6" w:rsidRDefault="00473235" w:rsidP="001278B6">
      <w:pPr>
        <w:pStyle w:val="a3"/>
        <w:widowControl/>
        <w:adjustRightInd w:val="0"/>
        <w:snapToGrid w:val="0"/>
        <w:rPr>
          <w:snapToGrid w:val="0"/>
          <w:lang w:val="da-DK"/>
        </w:rPr>
      </w:pPr>
      <w:r w:rsidRPr="001278B6">
        <w:rPr>
          <w:snapToGrid w:val="0"/>
          <w:lang w:val="da-DK"/>
        </w:rPr>
        <w:t>EXP</w:t>
      </w:r>
    </w:p>
    <w:p w14:paraId="2E451DF8" w14:textId="77777777" w:rsidR="003563EF" w:rsidRPr="001278B6" w:rsidRDefault="003563EF" w:rsidP="001278B6">
      <w:pPr>
        <w:pStyle w:val="a3"/>
        <w:widowControl/>
        <w:adjustRightInd w:val="0"/>
        <w:snapToGrid w:val="0"/>
        <w:rPr>
          <w:snapToGrid w:val="0"/>
          <w:lang w:val="da-DK"/>
        </w:rPr>
      </w:pPr>
    </w:p>
    <w:p w14:paraId="2C9B9015" w14:textId="77777777" w:rsidR="00761D73" w:rsidRPr="001278B6" w:rsidRDefault="00761D73" w:rsidP="001278B6">
      <w:pPr>
        <w:pStyle w:val="a3"/>
        <w:widowControl/>
        <w:adjustRightInd w:val="0"/>
        <w:snapToGrid w:val="0"/>
        <w:rPr>
          <w:snapToGrid w:val="0"/>
          <w:lang w:val="da-DK"/>
        </w:rPr>
      </w:pPr>
    </w:p>
    <w:p w14:paraId="66F33910" w14:textId="77777777" w:rsidR="003563EF"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4.</w:t>
      </w:r>
      <w:r w:rsidRPr="001278B6">
        <w:rPr>
          <w:b/>
          <w:lang w:val="da-DK"/>
        </w:rPr>
        <w:tab/>
      </w:r>
      <w:r w:rsidRPr="001278B6">
        <w:rPr>
          <w:b/>
          <w:spacing w:val="-2"/>
          <w:lang w:val="da-DK"/>
        </w:rPr>
        <w:t>BATCHNUMMER</w:t>
      </w:r>
    </w:p>
    <w:p w14:paraId="1BE106F0" w14:textId="77777777" w:rsidR="003563EF" w:rsidRPr="001278B6" w:rsidRDefault="003563EF" w:rsidP="001278B6">
      <w:pPr>
        <w:pStyle w:val="a3"/>
        <w:widowControl/>
        <w:adjustRightInd w:val="0"/>
        <w:snapToGrid w:val="0"/>
        <w:rPr>
          <w:snapToGrid w:val="0"/>
          <w:lang w:val="da-DK"/>
        </w:rPr>
      </w:pPr>
    </w:p>
    <w:p w14:paraId="22D3DCC9" w14:textId="77777777" w:rsidR="003563EF" w:rsidRPr="001278B6" w:rsidRDefault="00473235" w:rsidP="001278B6">
      <w:pPr>
        <w:pStyle w:val="a3"/>
        <w:widowControl/>
        <w:adjustRightInd w:val="0"/>
        <w:snapToGrid w:val="0"/>
        <w:rPr>
          <w:snapToGrid w:val="0"/>
          <w:lang w:val="da-DK"/>
        </w:rPr>
      </w:pPr>
      <w:r w:rsidRPr="001278B6">
        <w:rPr>
          <w:snapToGrid w:val="0"/>
          <w:lang w:val="da-DK"/>
        </w:rPr>
        <w:t>Lot</w:t>
      </w:r>
    </w:p>
    <w:p w14:paraId="34C9DC51" w14:textId="77777777" w:rsidR="003563EF" w:rsidRPr="001278B6" w:rsidRDefault="003563EF" w:rsidP="001278B6">
      <w:pPr>
        <w:pStyle w:val="a3"/>
        <w:widowControl/>
        <w:adjustRightInd w:val="0"/>
        <w:snapToGrid w:val="0"/>
        <w:rPr>
          <w:snapToGrid w:val="0"/>
          <w:lang w:val="da-DK"/>
        </w:rPr>
      </w:pPr>
    </w:p>
    <w:p w14:paraId="3F15EC56" w14:textId="77777777" w:rsidR="00761D73" w:rsidRPr="001278B6" w:rsidRDefault="00761D73" w:rsidP="001278B6">
      <w:pPr>
        <w:pStyle w:val="a3"/>
        <w:widowControl/>
        <w:adjustRightInd w:val="0"/>
        <w:snapToGrid w:val="0"/>
        <w:rPr>
          <w:snapToGrid w:val="0"/>
          <w:lang w:val="da-DK"/>
        </w:rPr>
      </w:pPr>
    </w:p>
    <w:p w14:paraId="47188213" w14:textId="77777777" w:rsidR="00761D73"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5.</w:t>
      </w:r>
      <w:r w:rsidRPr="001278B6">
        <w:rPr>
          <w:b/>
          <w:lang w:val="da-DK"/>
        </w:rPr>
        <w:tab/>
        <w:t>INDHOLD</w:t>
      </w:r>
      <w:r w:rsidRPr="001278B6">
        <w:rPr>
          <w:b/>
          <w:spacing w:val="-8"/>
          <w:lang w:val="da-DK"/>
        </w:rPr>
        <w:t xml:space="preserve"> </w:t>
      </w:r>
      <w:r w:rsidRPr="001278B6">
        <w:rPr>
          <w:b/>
          <w:lang w:val="da-DK"/>
        </w:rPr>
        <w:t>ANGIVET</w:t>
      </w:r>
      <w:r w:rsidRPr="001278B6">
        <w:rPr>
          <w:b/>
          <w:spacing w:val="-6"/>
          <w:lang w:val="da-DK"/>
        </w:rPr>
        <w:t xml:space="preserve"> </w:t>
      </w:r>
      <w:r w:rsidRPr="001278B6">
        <w:rPr>
          <w:b/>
          <w:lang w:val="da-DK"/>
        </w:rPr>
        <w:t>SOM</w:t>
      </w:r>
      <w:r w:rsidRPr="001278B6">
        <w:rPr>
          <w:b/>
          <w:spacing w:val="-4"/>
          <w:lang w:val="da-DK"/>
        </w:rPr>
        <w:t xml:space="preserve"> </w:t>
      </w:r>
      <w:r w:rsidRPr="001278B6">
        <w:rPr>
          <w:b/>
          <w:lang w:val="da-DK"/>
        </w:rPr>
        <w:t>VÆGT,</w:t>
      </w:r>
      <w:r w:rsidRPr="001278B6">
        <w:rPr>
          <w:b/>
          <w:spacing w:val="-5"/>
          <w:lang w:val="da-DK"/>
        </w:rPr>
        <w:t xml:space="preserve"> </w:t>
      </w:r>
      <w:r w:rsidRPr="001278B6">
        <w:rPr>
          <w:b/>
          <w:lang w:val="da-DK"/>
        </w:rPr>
        <w:t>VOLUMEN</w:t>
      </w:r>
      <w:r w:rsidRPr="001278B6">
        <w:rPr>
          <w:b/>
          <w:spacing w:val="-6"/>
          <w:lang w:val="da-DK"/>
        </w:rPr>
        <w:t xml:space="preserve"> </w:t>
      </w:r>
      <w:r w:rsidRPr="001278B6">
        <w:rPr>
          <w:b/>
          <w:lang w:val="da-DK"/>
        </w:rPr>
        <w:t>ELLER</w:t>
      </w:r>
      <w:r w:rsidRPr="001278B6">
        <w:rPr>
          <w:b/>
          <w:spacing w:val="-4"/>
          <w:lang w:val="da-DK"/>
        </w:rPr>
        <w:t xml:space="preserve"> </w:t>
      </w:r>
      <w:r w:rsidRPr="001278B6">
        <w:rPr>
          <w:b/>
          <w:spacing w:val="-2"/>
          <w:lang w:val="da-DK"/>
        </w:rPr>
        <w:t>ENHEDER</w:t>
      </w:r>
    </w:p>
    <w:p w14:paraId="1242DCC9" w14:textId="77777777" w:rsidR="003563EF" w:rsidRPr="001278B6" w:rsidRDefault="003563EF" w:rsidP="001278B6">
      <w:pPr>
        <w:pStyle w:val="a3"/>
        <w:widowControl/>
        <w:adjustRightInd w:val="0"/>
        <w:snapToGrid w:val="0"/>
        <w:rPr>
          <w:snapToGrid w:val="0"/>
          <w:lang w:val="da-DK"/>
        </w:rPr>
      </w:pPr>
    </w:p>
    <w:p w14:paraId="2A1CC23E" w14:textId="77777777" w:rsidR="003563EF" w:rsidRPr="001278B6" w:rsidRDefault="00473235" w:rsidP="001278B6">
      <w:pPr>
        <w:pStyle w:val="a3"/>
        <w:widowControl/>
        <w:adjustRightInd w:val="0"/>
        <w:snapToGrid w:val="0"/>
        <w:rPr>
          <w:snapToGrid w:val="0"/>
          <w:lang w:val="da-DK"/>
        </w:rPr>
      </w:pPr>
      <w:r w:rsidRPr="001278B6">
        <w:rPr>
          <w:snapToGrid w:val="0"/>
          <w:lang w:val="da-DK"/>
        </w:rPr>
        <w:t>100</w:t>
      </w:r>
      <w:r w:rsidR="00D57B83">
        <w:rPr>
          <w:snapToGrid w:val="0"/>
          <w:lang w:val="da-DK"/>
        </w:rPr>
        <w:t> mg</w:t>
      </w:r>
      <w:r w:rsidRPr="001278B6">
        <w:rPr>
          <w:snapToGrid w:val="0"/>
          <w:lang w:val="da-DK"/>
        </w:rPr>
        <w:t>/4</w:t>
      </w:r>
      <w:r w:rsidR="00D57B83">
        <w:rPr>
          <w:snapToGrid w:val="0"/>
          <w:lang w:val="da-DK"/>
        </w:rPr>
        <w:t> ml</w:t>
      </w:r>
    </w:p>
    <w:p w14:paraId="2C549958" w14:textId="77777777" w:rsidR="003563EF" w:rsidRPr="001278B6" w:rsidRDefault="003563EF" w:rsidP="001278B6">
      <w:pPr>
        <w:pStyle w:val="a3"/>
        <w:widowControl/>
        <w:adjustRightInd w:val="0"/>
        <w:snapToGrid w:val="0"/>
        <w:rPr>
          <w:snapToGrid w:val="0"/>
          <w:lang w:val="da-DK"/>
        </w:rPr>
      </w:pPr>
    </w:p>
    <w:p w14:paraId="448B901F" w14:textId="77777777" w:rsidR="00761D73" w:rsidRPr="001278B6" w:rsidRDefault="00761D73" w:rsidP="001278B6">
      <w:pPr>
        <w:pStyle w:val="a3"/>
        <w:widowControl/>
        <w:adjustRightInd w:val="0"/>
        <w:snapToGrid w:val="0"/>
        <w:rPr>
          <w:snapToGrid w:val="0"/>
          <w:lang w:val="da-DK"/>
        </w:rPr>
      </w:pPr>
    </w:p>
    <w:p w14:paraId="3924D638" w14:textId="77777777" w:rsidR="00761D73" w:rsidRPr="001278B6" w:rsidRDefault="00761D73"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spacing w:val="-2"/>
          <w:lang w:val="da-DK"/>
        </w:rPr>
      </w:pPr>
      <w:r w:rsidRPr="001278B6">
        <w:rPr>
          <w:b/>
          <w:spacing w:val="-5"/>
          <w:lang w:val="da-DK"/>
        </w:rPr>
        <w:t>6.</w:t>
      </w:r>
      <w:r w:rsidRPr="001278B6">
        <w:rPr>
          <w:b/>
          <w:lang w:val="da-DK"/>
        </w:rPr>
        <w:tab/>
      </w:r>
      <w:r w:rsidRPr="001278B6">
        <w:rPr>
          <w:b/>
          <w:spacing w:val="-2"/>
          <w:lang w:val="da-DK"/>
        </w:rPr>
        <w:t>ANDET</w:t>
      </w:r>
    </w:p>
    <w:p w14:paraId="553AFDD5" w14:textId="77777777" w:rsidR="00761D73" w:rsidRPr="001278B6" w:rsidRDefault="00761D73" w:rsidP="001278B6">
      <w:pPr>
        <w:widowControl/>
        <w:rPr>
          <w:snapToGrid w:val="0"/>
          <w:lang w:val="da-DK"/>
        </w:rPr>
      </w:pPr>
    </w:p>
    <w:p w14:paraId="5328A5E6" w14:textId="77777777" w:rsidR="00A63B05" w:rsidRPr="001278B6" w:rsidRDefault="00B82C85" w:rsidP="001278B6">
      <w:pPr>
        <w:widowControl/>
        <w:pBdr>
          <w:top w:val="single" w:sz="4" w:space="1" w:color="auto"/>
          <w:left w:val="single" w:sz="4" w:space="4" w:color="auto"/>
          <w:bottom w:val="single" w:sz="4" w:space="1" w:color="auto"/>
          <w:right w:val="single" w:sz="4" w:space="4" w:color="auto"/>
        </w:pBdr>
        <w:spacing w:before="1"/>
        <w:rPr>
          <w:b/>
          <w:lang w:val="da-DK"/>
        </w:rPr>
      </w:pPr>
      <w:r w:rsidRPr="001278B6">
        <w:rPr>
          <w:snapToGrid w:val="0"/>
          <w:lang w:val="da-DK"/>
        </w:rPr>
        <w:br w:type="page"/>
      </w:r>
      <w:r w:rsidR="00A63B05" w:rsidRPr="001278B6">
        <w:rPr>
          <w:b/>
          <w:lang w:val="da-DK"/>
        </w:rPr>
        <w:lastRenderedPageBreak/>
        <w:t>MÆRKNING,</w:t>
      </w:r>
      <w:r w:rsidR="00A63B05" w:rsidRPr="001278B6">
        <w:rPr>
          <w:b/>
          <w:spacing w:val="-6"/>
          <w:lang w:val="da-DK"/>
        </w:rPr>
        <w:t xml:space="preserve"> </w:t>
      </w:r>
      <w:r w:rsidR="00A63B05" w:rsidRPr="001278B6">
        <w:rPr>
          <w:b/>
          <w:lang w:val="da-DK"/>
        </w:rPr>
        <w:t>DER</w:t>
      </w:r>
      <w:r w:rsidR="00A63B05" w:rsidRPr="001278B6">
        <w:rPr>
          <w:b/>
          <w:spacing w:val="-5"/>
          <w:lang w:val="da-DK"/>
        </w:rPr>
        <w:t xml:space="preserve"> </w:t>
      </w:r>
      <w:r w:rsidR="00A63B05" w:rsidRPr="001278B6">
        <w:rPr>
          <w:b/>
          <w:lang w:val="da-DK"/>
        </w:rPr>
        <w:t>SKAL</w:t>
      </w:r>
      <w:r w:rsidR="00A63B05" w:rsidRPr="001278B6">
        <w:rPr>
          <w:b/>
          <w:spacing w:val="-5"/>
          <w:lang w:val="da-DK"/>
        </w:rPr>
        <w:t xml:space="preserve"> </w:t>
      </w:r>
      <w:r w:rsidR="00A63B05" w:rsidRPr="001278B6">
        <w:rPr>
          <w:b/>
          <w:lang w:val="da-DK"/>
        </w:rPr>
        <w:t>ANFØRES</w:t>
      </w:r>
      <w:r w:rsidR="00A63B05" w:rsidRPr="001278B6">
        <w:rPr>
          <w:b/>
          <w:spacing w:val="-7"/>
          <w:lang w:val="da-DK"/>
        </w:rPr>
        <w:t xml:space="preserve"> </w:t>
      </w:r>
      <w:r w:rsidR="00A63B05" w:rsidRPr="001278B6">
        <w:rPr>
          <w:b/>
          <w:lang w:val="da-DK"/>
        </w:rPr>
        <w:t>PÅ</w:t>
      </w:r>
      <w:r w:rsidR="00A63B05" w:rsidRPr="001278B6">
        <w:rPr>
          <w:b/>
          <w:spacing w:val="-5"/>
          <w:lang w:val="da-DK"/>
        </w:rPr>
        <w:t xml:space="preserve"> </w:t>
      </w:r>
      <w:r w:rsidR="00A63B05" w:rsidRPr="001278B6">
        <w:rPr>
          <w:b/>
          <w:lang w:val="da-DK"/>
        </w:rPr>
        <w:t>DEN</w:t>
      </w:r>
      <w:r w:rsidR="00A63B05" w:rsidRPr="001278B6">
        <w:rPr>
          <w:b/>
          <w:spacing w:val="-5"/>
          <w:lang w:val="da-DK"/>
        </w:rPr>
        <w:t xml:space="preserve"> </w:t>
      </w:r>
      <w:r w:rsidR="00A63B05" w:rsidRPr="001278B6">
        <w:rPr>
          <w:b/>
          <w:lang w:val="da-DK"/>
        </w:rPr>
        <w:t>YDRE</w:t>
      </w:r>
      <w:r w:rsidR="00A63B05" w:rsidRPr="001278B6">
        <w:rPr>
          <w:b/>
          <w:spacing w:val="-4"/>
          <w:lang w:val="da-DK"/>
        </w:rPr>
        <w:t xml:space="preserve"> </w:t>
      </w:r>
      <w:r w:rsidR="00A63B05" w:rsidRPr="001278B6">
        <w:rPr>
          <w:b/>
          <w:spacing w:val="-2"/>
          <w:lang w:val="da-DK"/>
        </w:rPr>
        <w:t>EMBALLAGE</w:t>
      </w:r>
    </w:p>
    <w:p w14:paraId="59715A5F" w14:textId="77777777" w:rsidR="00A63B05" w:rsidRPr="001278B6" w:rsidRDefault="00A63B05" w:rsidP="001278B6">
      <w:pPr>
        <w:pStyle w:val="a3"/>
        <w:widowControl/>
        <w:pBdr>
          <w:top w:val="single" w:sz="4" w:space="1" w:color="auto"/>
          <w:left w:val="single" w:sz="4" w:space="4" w:color="auto"/>
          <w:bottom w:val="single" w:sz="4" w:space="1" w:color="auto"/>
          <w:right w:val="single" w:sz="4" w:space="4" w:color="auto"/>
        </w:pBdr>
        <w:spacing w:before="9"/>
        <w:rPr>
          <w:b/>
          <w:sz w:val="21"/>
          <w:lang w:val="da-DK"/>
        </w:rPr>
      </w:pPr>
    </w:p>
    <w:p w14:paraId="6CA4C4FA"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rPr>
          <w:b/>
          <w:lang w:val="da-DK"/>
        </w:rPr>
      </w:pPr>
      <w:r w:rsidRPr="001278B6">
        <w:rPr>
          <w:b/>
          <w:spacing w:val="-2"/>
          <w:lang w:val="da-DK"/>
        </w:rPr>
        <w:t>KARTON</w:t>
      </w:r>
    </w:p>
    <w:p w14:paraId="08259C31" w14:textId="77777777" w:rsidR="003563EF" w:rsidRPr="001278B6" w:rsidRDefault="003563EF" w:rsidP="001278B6">
      <w:pPr>
        <w:pStyle w:val="a3"/>
        <w:widowControl/>
        <w:adjustRightInd w:val="0"/>
        <w:snapToGrid w:val="0"/>
        <w:rPr>
          <w:snapToGrid w:val="0"/>
          <w:lang w:val="da-DK"/>
        </w:rPr>
      </w:pPr>
    </w:p>
    <w:p w14:paraId="25E5B089" w14:textId="77777777" w:rsidR="003563EF" w:rsidRPr="001278B6" w:rsidRDefault="003563EF" w:rsidP="001278B6">
      <w:pPr>
        <w:pStyle w:val="a3"/>
        <w:widowControl/>
        <w:adjustRightInd w:val="0"/>
        <w:snapToGrid w:val="0"/>
        <w:rPr>
          <w:snapToGrid w:val="0"/>
          <w:lang w:val="da-DK"/>
        </w:rPr>
      </w:pPr>
    </w:p>
    <w:p w14:paraId="77B23C1A"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w:t>
      </w:r>
      <w:r w:rsidRPr="001278B6">
        <w:rPr>
          <w:b/>
          <w:lang w:val="da-DK"/>
        </w:rPr>
        <w:tab/>
        <w:t>LÆGEMIDLETS</w:t>
      </w:r>
      <w:r w:rsidRPr="001278B6">
        <w:rPr>
          <w:b/>
          <w:spacing w:val="-10"/>
          <w:lang w:val="da-DK"/>
        </w:rPr>
        <w:t xml:space="preserve"> </w:t>
      </w:r>
      <w:r w:rsidRPr="001278B6">
        <w:rPr>
          <w:b/>
          <w:spacing w:val="-4"/>
          <w:lang w:val="da-DK"/>
        </w:rPr>
        <w:t>NAVN</w:t>
      </w:r>
    </w:p>
    <w:p w14:paraId="0BB8A477" w14:textId="77777777" w:rsidR="003563EF" w:rsidRPr="001278B6" w:rsidRDefault="003563EF" w:rsidP="001278B6">
      <w:pPr>
        <w:pStyle w:val="a3"/>
        <w:widowControl/>
        <w:adjustRightInd w:val="0"/>
        <w:snapToGrid w:val="0"/>
        <w:rPr>
          <w:snapToGrid w:val="0"/>
          <w:lang w:val="da-DK"/>
        </w:rPr>
      </w:pPr>
    </w:p>
    <w:p w14:paraId="458A15D0" w14:textId="5F607884" w:rsidR="00385BB7" w:rsidRDefault="00295FBB">
      <w:pPr>
        <w:pStyle w:val="a3"/>
        <w:widowControl/>
        <w:adjustRightInd w:val="0"/>
        <w:snapToGrid w:val="0"/>
        <w:rPr>
          <w:snapToGrid w:val="0"/>
          <w:lang w:val="da-DK"/>
        </w:rPr>
      </w:pPr>
      <w:r>
        <w:rPr>
          <w:snapToGrid w:val="0"/>
          <w:lang w:val="da-DK"/>
        </w:rPr>
        <w:t>Vegzelma</w:t>
      </w:r>
      <w:r w:rsidR="00452BDF">
        <w:rPr>
          <w:rFonts w:eastAsia="맑은 고딕" w:hint="eastAsia"/>
          <w:snapToGrid w:val="0"/>
          <w:lang w:val="da-DK" w:eastAsia="ko-KR"/>
        </w:rPr>
        <w:t xml:space="preserve"> </w:t>
      </w:r>
      <w:r w:rsidR="00473235" w:rsidRPr="001278B6">
        <w:rPr>
          <w:snapToGrid w:val="0"/>
          <w:lang w:val="da-DK"/>
        </w:rPr>
        <w:t>25</w:t>
      </w:r>
      <w:r w:rsidR="006251E8">
        <w:rPr>
          <w:snapToGrid w:val="0"/>
          <w:lang w:val="da-DK"/>
        </w:rPr>
        <w:t> mg</w:t>
      </w:r>
      <w:r w:rsidR="00473235" w:rsidRPr="001278B6">
        <w:rPr>
          <w:snapToGrid w:val="0"/>
          <w:lang w:val="da-DK"/>
        </w:rPr>
        <w:t>/ml koncentrat til infusionsvæske, opløsning</w:t>
      </w:r>
    </w:p>
    <w:p w14:paraId="5D73A952"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w:t>
      </w:r>
    </w:p>
    <w:p w14:paraId="3933AA0C" w14:textId="77777777" w:rsidR="003563EF" w:rsidRPr="001278B6" w:rsidRDefault="003563EF" w:rsidP="001278B6">
      <w:pPr>
        <w:pStyle w:val="a3"/>
        <w:widowControl/>
        <w:adjustRightInd w:val="0"/>
        <w:snapToGrid w:val="0"/>
        <w:rPr>
          <w:snapToGrid w:val="0"/>
          <w:lang w:val="da-DK"/>
        </w:rPr>
      </w:pPr>
    </w:p>
    <w:p w14:paraId="0E0F607C" w14:textId="77777777" w:rsidR="00A63B05" w:rsidRPr="001278B6" w:rsidRDefault="00A63B05" w:rsidP="001278B6">
      <w:pPr>
        <w:pStyle w:val="a3"/>
        <w:widowControl/>
        <w:adjustRightInd w:val="0"/>
        <w:snapToGrid w:val="0"/>
        <w:rPr>
          <w:snapToGrid w:val="0"/>
          <w:lang w:val="da-DK"/>
        </w:rPr>
      </w:pPr>
    </w:p>
    <w:p w14:paraId="7EF52B84"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2.</w:t>
      </w:r>
      <w:r w:rsidRPr="001278B6">
        <w:rPr>
          <w:b/>
          <w:lang w:val="da-DK"/>
        </w:rPr>
        <w:tab/>
        <w:t>ANGIVELSE</w:t>
      </w:r>
      <w:r w:rsidRPr="001278B6">
        <w:rPr>
          <w:b/>
          <w:spacing w:val="-10"/>
          <w:lang w:val="da-DK"/>
        </w:rPr>
        <w:t xml:space="preserve"> </w:t>
      </w:r>
      <w:r w:rsidRPr="001278B6">
        <w:rPr>
          <w:b/>
          <w:lang w:val="da-DK"/>
        </w:rPr>
        <w:t>AF</w:t>
      </w:r>
      <w:r w:rsidRPr="001278B6">
        <w:rPr>
          <w:b/>
          <w:spacing w:val="-4"/>
          <w:lang w:val="da-DK"/>
        </w:rPr>
        <w:t xml:space="preserve"> </w:t>
      </w:r>
      <w:r w:rsidRPr="001278B6">
        <w:rPr>
          <w:b/>
          <w:lang w:val="da-DK"/>
        </w:rPr>
        <w:t>AKTIVT</w:t>
      </w:r>
      <w:r w:rsidRPr="001278B6">
        <w:rPr>
          <w:b/>
          <w:spacing w:val="-7"/>
          <w:lang w:val="da-DK"/>
        </w:rPr>
        <w:t xml:space="preserve"> </w:t>
      </w:r>
      <w:r w:rsidRPr="001278B6">
        <w:rPr>
          <w:b/>
          <w:lang w:val="da-DK"/>
        </w:rPr>
        <w:t>STOF/AKTIVE</w:t>
      </w:r>
      <w:r w:rsidRPr="001278B6">
        <w:rPr>
          <w:b/>
          <w:spacing w:val="-7"/>
          <w:lang w:val="da-DK"/>
        </w:rPr>
        <w:t xml:space="preserve"> </w:t>
      </w:r>
      <w:r w:rsidRPr="001278B6">
        <w:rPr>
          <w:b/>
          <w:spacing w:val="-2"/>
          <w:lang w:val="da-DK"/>
        </w:rPr>
        <w:t>STOFFER</w:t>
      </w:r>
    </w:p>
    <w:p w14:paraId="1E93692E" w14:textId="77777777" w:rsidR="003563EF" w:rsidRPr="001278B6" w:rsidRDefault="003563EF" w:rsidP="001278B6">
      <w:pPr>
        <w:pStyle w:val="a3"/>
        <w:widowControl/>
        <w:adjustRightInd w:val="0"/>
        <w:snapToGrid w:val="0"/>
        <w:rPr>
          <w:snapToGrid w:val="0"/>
          <w:lang w:val="da-DK"/>
        </w:rPr>
      </w:pPr>
    </w:p>
    <w:p w14:paraId="1836D7DD" w14:textId="77777777" w:rsidR="003563EF" w:rsidRPr="001278B6" w:rsidRDefault="00473235" w:rsidP="001278B6">
      <w:pPr>
        <w:pStyle w:val="a3"/>
        <w:widowControl/>
        <w:adjustRightInd w:val="0"/>
        <w:snapToGrid w:val="0"/>
        <w:rPr>
          <w:snapToGrid w:val="0"/>
          <w:lang w:val="da-DK"/>
        </w:rPr>
      </w:pPr>
      <w:r w:rsidRPr="001278B6">
        <w:rPr>
          <w:snapToGrid w:val="0"/>
          <w:lang w:val="da-DK"/>
        </w:rPr>
        <w:t>Hvert hætteglas indeholder 400 mg bevacizumab</w:t>
      </w:r>
      <w:r w:rsidR="00573E1A">
        <w:rPr>
          <w:snapToGrid w:val="0"/>
          <w:lang w:val="da-DK"/>
        </w:rPr>
        <w:t xml:space="preserve"> á 16 ml koncentrat</w:t>
      </w:r>
      <w:r w:rsidRPr="001278B6">
        <w:rPr>
          <w:snapToGrid w:val="0"/>
          <w:lang w:val="da-DK"/>
        </w:rPr>
        <w:t>.</w:t>
      </w:r>
    </w:p>
    <w:p w14:paraId="0B03FE13" w14:textId="77777777" w:rsidR="003563EF" w:rsidRPr="001278B6" w:rsidRDefault="003563EF" w:rsidP="001278B6">
      <w:pPr>
        <w:pStyle w:val="a3"/>
        <w:widowControl/>
        <w:adjustRightInd w:val="0"/>
        <w:snapToGrid w:val="0"/>
        <w:rPr>
          <w:snapToGrid w:val="0"/>
          <w:lang w:val="da-DK"/>
        </w:rPr>
      </w:pPr>
    </w:p>
    <w:p w14:paraId="3336C8A3" w14:textId="77777777" w:rsidR="00A63B05" w:rsidRPr="001278B6" w:rsidRDefault="00A63B05" w:rsidP="001278B6">
      <w:pPr>
        <w:pStyle w:val="a3"/>
        <w:widowControl/>
        <w:adjustRightInd w:val="0"/>
        <w:snapToGrid w:val="0"/>
        <w:rPr>
          <w:snapToGrid w:val="0"/>
          <w:lang w:val="da-DK"/>
        </w:rPr>
      </w:pPr>
    </w:p>
    <w:p w14:paraId="57BBF5B9"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3.</w:t>
      </w:r>
      <w:r w:rsidRPr="001278B6">
        <w:rPr>
          <w:b/>
          <w:lang w:val="da-DK"/>
        </w:rPr>
        <w:tab/>
        <w:t>LISTE</w:t>
      </w:r>
      <w:r w:rsidRPr="001278B6">
        <w:rPr>
          <w:b/>
          <w:spacing w:val="-4"/>
          <w:lang w:val="da-DK"/>
        </w:rPr>
        <w:t xml:space="preserve"> </w:t>
      </w:r>
      <w:r w:rsidRPr="001278B6">
        <w:rPr>
          <w:b/>
          <w:lang w:val="da-DK"/>
        </w:rPr>
        <w:t>OVER</w:t>
      </w:r>
      <w:r w:rsidRPr="001278B6">
        <w:rPr>
          <w:b/>
          <w:spacing w:val="-3"/>
          <w:lang w:val="da-DK"/>
        </w:rPr>
        <w:t xml:space="preserve"> </w:t>
      </w:r>
      <w:r w:rsidRPr="001278B6">
        <w:rPr>
          <w:b/>
          <w:spacing w:val="-2"/>
          <w:lang w:val="da-DK"/>
        </w:rPr>
        <w:t>HJÆLPESTOFFER</w:t>
      </w:r>
    </w:p>
    <w:p w14:paraId="60CE923F" w14:textId="77777777" w:rsidR="003563EF" w:rsidRPr="001278B6" w:rsidRDefault="003563EF" w:rsidP="001278B6">
      <w:pPr>
        <w:pStyle w:val="a3"/>
        <w:widowControl/>
        <w:adjustRightInd w:val="0"/>
        <w:snapToGrid w:val="0"/>
        <w:rPr>
          <w:snapToGrid w:val="0"/>
          <w:lang w:val="da-DK"/>
        </w:rPr>
      </w:pPr>
    </w:p>
    <w:p w14:paraId="6FCD6522" w14:textId="77777777" w:rsidR="003563EF" w:rsidRPr="001278B6" w:rsidRDefault="00473235" w:rsidP="001278B6">
      <w:pPr>
        <w:pStyle w:val="a3"/>
        <w:widowControl/>
        <w:adjustRightInd w:val="0"/>
        <w:snapToGrid w:val="0"/>
        <w:rPr>
          <w:snapToGrid w:val="0"/>
          <w:lang w:val="da-DK"/>
        </w:rPr>
      </w:pPr>
      <w:r w:rsidRPr="001278B6">
        <w:rPr>
          <w:snapToGrid w:val="0"/>
          <w:lang w:val="da-DK"/>
        </w:rPr>
        <w:t>Trehalosedihydrat, natriumphosphat, polysorbat 20, vand til injektionsvæsker.</w:t>
      </w:r>
    </w:p>
    <w:p w14:paraId="35ADB8EC" w14:textId="77777777" w:rsidR="003563EF" w:rsidRPr="001278B6" w:rsidRDefault="003563EF" w:rsidP="001278B6">
      <w:pPr>
        <w:pStyle w:val="a3"/>
        <w:widowControl/>
        <w:adjustRightInd w:val="0"/>
        <w:snapToGrid w:val="0"/>
        <w:rPr>
          <w:snapToGrid w:val="0"/>
          <w:lang w:val="da-DK"/>
        </w:rPr>
      </w:pPr>
    </w:p>
    <w:p w14:paraId="649BFB0B" w14:textId="77777777" w:rsidR="00A63B05" w:rsidRPr="001278B6" w:rsidRDefault="00A63B05" w:rsidP="001278B6">
      <w:pPr>
        <w:pStyle w:val="a3"/>
        <w:widowControl/>
        <w:adjustRightInd w:val="0"/>
        <w:snapToGrid w:val="0"/>
        <w:rPr>
          <w:snapToGrid w:val="0"/>
          <w:lang w:val="da-DK"/>
        </w:rPr>
      </w:pPr>
    </w:p>
    <w:p w14:paraId="4EFAAF82"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tabs>
          <w:tab w:val="left" w:pos="669"/>
        </w:tabs>
        <w:spacing w:before="1"/>
        <w:rPr>
          <w:b/>
          <w:lang w:val="da-DK"/>
        </w:rPr>
      </w:pPr>
      <w:r w:rsidRPr="001278B6">
        <w:rPr>
          <w:b/>
          <w:spacing w:val="-5"/>
          <w:lang w:val="da-DK"/>
        </w:rPr>
        <w:t>4.</w:t>
      </w:r>
      <w:r w:rsidRPr="001278B6">
        <w:rPr>
          <w:b/>
          <w:lang w:val="da-DK"/>
        </w:rPr>
        <w:tab/>
        <w:t>LÆGEMIDDELFORM</w:t>
      </w:r>
      <w:r w:rsidRPr="001278B6">
        <w:rPr>
          <w:b/>
          <w:spacing w:val="-10"/>
          <w:lang w:val="da-DK"/>
        </w:rPr>
        <w:t xml:space="preserve"> </w:t>
      </w:r>
      <w:r w:rsidRPr="001278B6">
        <w:rPr>
          <w:b/>
          <w:lang w:val="da-DK"/>
        </w:rPr>
        <w:t>OG</w:t>
      </w:r>
      <w:r w:rsidRPr="001278B6">
        <w:rPr>
          <w:b/>
          <w:spacing w:val="-7"/>
          <w:lang w:val="da-DK"/>
        </w:rPr>
        <w:t xml:space="preserve"> </w:t>
      </w:r>
      <w:r w:rsidRPr="001278B6">
        <w:rPr>
          <w:b/>
          <w:lang w:val="da-DK"/>
        </w:rPr>
        <w:t>INDHOLD</w:t>
      </w:r>
      <w:r w:rsidRPr="001278B6">
        <w:rPr>
          <w:b/>
          <w:spacing w:val="-6"/>
          <w:lang w:val="da-DK"/>
        </w:rPr>
        <w:t xml:space="preserve"> </w:t>
      </w:r>
      <w:r w:rsidRPr="001278B6">
        <w:rPr>
          <w:b/>
          <w:spacing w:val="-2"/>
          <w:lang w:val="da-DK"/>
        </w:rPr>
        <w:t>(PAKNINGSSTØRRELSE)</w:t>
      </w:r>
    </w:p>
    <w:p w14:paraId="022BF841" w14:textId="77777777" w:rsidR="003563EF" w:rsidRPr="001278B6" w:rsidRDefault="003563EF" w:rsidP="001278B6">
      <w:pPr>
        <w:pStyle w:val="a3"/>
        <w:widowControl/>
        <w:adjustRightInd w:val="0"/>
        <w:snapToGrid w:val="0"/>
        <w:rPr>
          <w:snapToGrid w:val="0"/>
          <w:lang w:val="da-DK"/>
        </w:rPr>
      </w:pPr>
    </w:p>
    <w:p w14:paraId="6BDF89E9" w14:textId="77777777" w:rsidR="00385BB7" w:rsidRDefault="00473235">
      <w:pPr>
        <w:pStyle w:val="a3"/>
        <w:widowControl/>
        <w:adjustRightInd w:val="0"/>
        <w:snapToGrid w:val="0"/>
        <w:rPr>
          <w:snapToGrid w:val="0"/>
          <w:lang w:val="da-DK"/>
        </w:rPr>
      </w:pPr>
      <w:r w:rsidRPr="00D31843">
        <w:rPr>
          <w:snapToGrid w:val="0"/>
          <w:highlight w:val="lightGray"/>
          <w:lang w:val="da-DK"/>
        </w:rPr>
        <w:t>Koncentrat til infusionsvæske, opløsning</w:t>
      </w:r>
    </w:p>
    <w:p w14:paraId="79BAA79B" w14:textId="77777777" w:rsidR="003563EF" w:rsidRPr="00D31843" w:rsidRDefault="00473235" w:rsidP="001278B6">
      <w:pPr>
        <w:pStyle w:val="a3"/>
        <w:widowControl/>
        <w:adjustRightInd w:val="0"/>
        <w:snapToGrid w:val="0"/>
        <w:rPr>
          <w:snapToGrid w:val="0"/>
          <w:highlight w:val="lightGray"/>
          <w:lang w:val="da-DK"/>
        </w:rPr>
      </w:pPr>
      <w:r w:rsidRPr="001278B6">
        <w:rPr>
          <w:snapToGrid w:val="0"/>
          <w:lang w:val="da-DK"/>
        </w:rPr>
        <w:t xml:space="preserve">1 </w:t>
      </w:r>
      <w:r w:rsidRPr="009A3C0C">
        <w:rPr>
          <w:snapToGrid w:val="0"/>
          <w:lang w:val="da-DK"/>
        </w:rPr>
        <w:t xml:space="preserve">hætteglas </w:t>
      </w:r>
      <w:r w:rsidRPr="00D31843">
        <w:rPr>
          <w:snapToGrid w:val="0"/>
          <w:highlight w:val="lightGray"/>
          <w:lang w:val="da-DK"/>
        </w:rPr>
        <w:t>á 16</w:t>
      </w:r>
      <w:r w:rsidR="006251E8" w:rsidRPr="00D31843">
        <w:rPr>
          <w:snapToGrid w:val="0"/>
          <w:highlight w:val="lightGray"/>
          <w:lang w:val="da-DK"/>
        </w:rPr>
        <w:t> </w:t>
      </w:r>
      <w:r w:rsidRPr="00D31843">
        <w:rPr>
          <w:snapToGrid w:val="0"/>
          <w:highlight w:val="lightGray"/>
          <w:lang w:val="da-DK"/>
        </w:rPr>
        <w:t>ml</w:t>
      </w:r>
    </w:p>
    <w:p w14:paraId="7C6E8B11" w14:textId="037D86F4" w:rsidR="00C34F7D" w:rsidRPr="001278B6" w:rsidRDefault="00C34F7D" w:rsidP="00C34F7D">
      <w:pPr>
        <w:pStyle w:val="a3"/>
        <w:widowControl/>
        <w:adjustRightInd w:val="0"/>
        <w:snapToGrid w:val="0"/>
        <w:rPr>
          <w:snapToGrid w:val="0"/>
          <w:lang w:val="da-DK"/>
        </w:rPr>
      </w:pPr>
      <w:r>
        <w:rPr>
          <w:rFonts w:eastAsia="맑은 고딕" w:hint="eastAsia"/>
          <w:snapToGrid w:val="0"/>
          <w:highlight w:val="lightGray"/>
          <w:lang w:val="da-DK" w:eastAsia="ko-KR"/>
        </w:rPr>
        <w:t>2</w:t>
      </w:r>
      <w:r w:rsidRPr="008823E3">
        <w:rPr>
          <w:snapToGrid w:val="0"/>
          <w:highlight w:val="lightGray"/>
          <w:lang w:val="da-DK"/>
        </w:rPr>
        <w:t xml:space="preserve"> hætteglas á </w:t>
      </w:r>
      <w:r>
        <w:rPr>
          <w:snapToGrid w:val="0"/>
          <w:highlight w:val="lightGray"/>
          <w:lang w:val="da-DK"/>
        </w:rPr>
        <w:t>16</w:t>
      </w:r>
      <w:r w:rsidRPr="008823E3">
        <w:rPr>
          <w:snapToGrid w:val="0"/>
          <w:highlight w:val="lightGray"/>
          <w:lang w:val="da-DK"/>
        </w:rPr>
        <w:t> ml</w:t>
      </w:r>
    </w:p>
    <w:p w14:paraId="441571B8" w14:textId="1B257D4B" w:rsidR="008823E3" w:rsidRPr="001278B6" w:rsidRDefault="008823E3" w:rsidP="008823E3">
      <w:pPr>
        <w:pStyle w:val="a3"/>
        <w:widowControl/>
        <w:adjustRightInd w:val="0"/>
        <w:snapToGrid w:val="0"/>
        <w:rPr>
          <w:snapToGrid w:val="0"/>
          <w:lang w:val="da-DK"/>
        </w:rPr>
      </w:pPr>
      <w:r w:rsidRPr="008823E3">
        <w:rPr>
          <w:snapToGrid w:val="0"/>
          <w:highlight w:val="lightGray"/>
          <w:lang w:val="da-DK"/>
        </w:rPr>
        <w:t xml:space="preserve">10 hætteglas á </w:t>
      </w:r>
      <w:r>
        <w:rPr>
          <w:snapToGrid w:val="0"/>
          <w:highlight w:val="lightGray"/>
          <w:lang w:val="da-DK"/>
        </w:rPr>
        <w:t>16</w:t>
      </w:r>
      <w:r w:rsidRPr="008823E3">
        <w:rPr>
          <w:snapToGrid w:val="0"/>
          <w:highlight w:val="lightGray"/>
          <w:lang w:val="da-DK"/>
        </w:rPr>
        <w:t> ml</w:t>
      </w:r>
    </w:p>
    <w:p w14:paraId="5CA86AC8" w14:textId="77777777" w:rsidR="008823E3" w:rsidRPr="00D31843" w:rsidRDefault="008823E3" w:rsidP="001278B6">
      <w:pPr>
        <w:pStyle w:val="a3"/>
        <w:widowControl/>
        <w:adjustRightInd w:val="0"/>
        <w:snapToGrid w:val="0"/>
        <w:rPr>
          <w:snapToGrid w:val="0"/>
          <w:highlight w:val="lightGray"/>
          <w:lang w:val="da-DK"/>
        </w:rPr>
      </w:pPr>
    </w:p>
    <w:p w14:paraId="08BCCEBD" w14:textId="77777777" w:rsidR="003563EF" w:rsidRPr="001278B6" w:rsidRDefault="00473235" w:rsidP="001278B6">
      <w:pPr>
        <w:pStyle w:val="a3"/>
        <w:widowControl/>
        <w:adjustRightInd w:val="0"/>
        <w:snapToGrid w:val="0"/>
        <w:rPr>
          <w:snapToGrid w:val="0"/>
          <w:lang w:val="da-DK"/>
        </w:rPr>
      </w:pPr>
      <w:r w:rsidRPr="00D31843">
        <w:rPr>
          <w:snapToGrid w:val="0"/>
          <w:highlight w:val="lightGray"/>
          <w:lang w:val="da-DK"/>
        </w:rPr>
        <w:t>400</w:t>
      </w:r>
      <w:r w:rsidR="006251E8" w:rsidRPr="00D31843">
        <w:rPr>
          <w:snapToGrid w:val="0"/>
          <w:highlight w:val="lightGray"/>
          <w:lang w:val="da-DK"/>
        </w:rPr>
        <w:t> </w:t>
      </w:r>
      <w:r w:rsidRPr="00D31843">
        <w:rPr>
          <w:snapToGrid w:val="0"/>
          <w:highlight w:val="lightGray"/>
          <w:lang w:val="da-DK"/>
        </w:rPr>
        <w:t>mg/16</w:t>
      </w:r>
      <w:r w:rsidR="006251E8" w:rsidRPr="00D31843">
        <w:rPr>
          <w:snapToGrid w:val="0"/>
          <w:highlight w:val="lightGray"/>
          <w:lang w:val="da-DK"/>
        </w:rPr>
        <w:t> </w:t>
      </w:r>
      <w:r w:rsidRPr="00D31843">
        <w:rPr>
          <w:snapToGrid w:val="0"/>
          <w:highlight w:val="lightGray"/>
          <w:lang w:val="da-DK"/>
        </w:rPr>
        <w:t>ml</w:t>
      </w:r>
    </w:p>
    <w:p w14:paraId="4E53CBA7" w14:textId="77777777" w:rsidR="003563EF" w:rsidRPr="001278B6" w:rsidRDefault="003563EF" w:rsidP="001278B6">
      <w:pPr>
        <w:pStyle w:val="a3"/>
        <w:widowControl/>
        <w:adjustRightInd w:val="0"/>
        <w:snapToGrid w:val="0"/>
        <w:rPr>
          <w:snapToGrid w:val="0"/>
          <w:lang w:val="da-DK"/>
        </w:rPr>
      </w:pPr>
    </w:p>
    <w:p w14:paraId="7FB898D6" w14:textId="77777777" w:rsidR="00A63B05" w:rsidRPr="001278B6" w:rsidRDefault="00A63B05" w:rsidP="001278B6">
      <w:pPr>
        <w:pStyle w:val="a3"/>
        <w:widowControl/>
        <w:adjustRightInd w:val="0"/>
        <w:snapToGrid w:val="0"/>
        <w:rPr>
          <w:snapToGrid w:val="0"/>
          <w:lang w:val="da-DK"/>
        </w:rPr>
      </w:pPr>
    </w:p>
    <w:p w14:paraId="67CC3B68" w14:textId="77777777" w:rsidR="00A63B05" w:rsidRPr="001278B6" w:rsidRDefault="00A63B05"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5.</w:t>
      </w:r>
      <w:r w:rsidRPr="001278B6">
        <w:rPr>
          <w:b/>
          <w:lang w:val="da-DK"/>
        </w:rPr>
        <w:tab/>
        <w:t>ANVENDELSESMÅDE</w:t>
      </w:r>
      <w:r w:rsidRPr="001278B6">
        <w:rPr>
          <w:b/>
          <w:spacing w:val="-10"/>
          <w:lang w:val="da-DK"/>
        </w:rPr>
        <w:t xml:space="preserve"> </w:t>
      </w:r>
      <w:r w:rsidRPr="001278B6">
        <w:rPr>
          <w:b/>
          <w:lang w:val="da-DK"/>
        </w:rPr>
        <w:t>OG</w:t>
      </w:r>
      <w:r w:rsidRPr="001278B6">
        <w:rPr>
          <w:b/>
          <w:spacing w:val="-8"/>
          <w:lang w:val="da-DK"/>
        </w:rPr>
        <w:t xml:space="preserve"> </w:t>
      </w:r>
      <w:r w:rsidRPr="001278B6">
        <w:rPr>
          <w:b/>
          <w:spacing w:val="-2"/>
          <w:lang w:val="da-DK"/>
        </w:rPr>
        <w:t>ADMINISTRATIONSVEJ(E)</w:t>
      </w:r>
    </w:p>
    <w:p w14:paraId="210FF3C1" w14:textId="77777777" w:rsidR="003563EF" w:rsidRPr="001278B6" w:rsidRDefault="003563EF" w:rsidP="001278B6">
      <w:pPr>
        <w:pStyle w:val="a3"/>
        <w:widowControl/>
        <w:adjustRightInd w:val="0"/>
        <w:snapToGrid w:val="0"/>
        <w:rPr>
          <w:snapToGrid w:val="0"/>
          <w:lang w:val="da-DK"/>
        </w:rPr>
      </w:pPr>
    </w:p>
    <w:p w14:paraId="7C06E6F6" w14:textId="77777777" w:rsidR="00071D5C" w:rsidRDefault="00473235">
      <w:pPr>
        <w:pStyle w:val="a3"/>
        <w:widowControl/>
        <w:adjustRightInd w:val="0"/>
        <w:snapToGrid w:val="0"/>
        <w:rPr>
          <w:snapToGrid w:val="0"/>
          <w:lang w:val="da-DK"/>
        </w:rPr>
      </w:pPr>
      <w:r w:rsidRPr="001278B6">
        <w:rPr>
          <w:snapToGrid w:val="0"/>
          <w:lang w:val="da-DK"/>
        </w:rPr>
        <w:t xml:space="preserve">Til intravenøs anvendelse efter fortynding </w:t>
      </w:r>
    </w:p>
    <w:p w14:paraId="2FD75FE2" w14:textId="77777777" w:rsidR="003563EF" w:rsidRPr="001278B6" w:rsidRDefault="00473235" w:rsidP="001278B6">
      <w:pPr>
        <w:pStyle w:val="a3"/>
        <w:widowControl/>
        <w:adjustRightInd w:val="0"/>
        <w:snapToGrid w:val="0"/>
        <w:rPr>
          <w:snapToGrid w:val="0"/>
          <w:lang w:val="da-DK"/>
        </w:rPr>
      </w:pPr>
      <w:r w:rsidRPr="001278B6">
        <w:rPr>
          <w:snapToGrid w:val="0"/>
          <w:lang w:val="da-DK"/>
        </w:rPr>
        <w:t>Læs indlægssedlen inden brug</w:t>
      </w:r>
    </w:p>
    <w:p w14:paraId="748625F5" w14:textId="77777777" w:rsidR="003563EF" w:rsidRPr="001278B6" w:rsidRDefault="003563EF" w:rsidP="001278B6">
      <w:pPr>
        <w:pStyle w:val="a3"/>
        <w:widowControl/>
        <w:adjustRightInd w:val="0"/>
        <w:snapToGrid w:val="0"/>
        <w:rPr>
          <w:snapToGrid w:val="0"/>
          <w:lang w:val="da-DK"/>
        </w:rPr>
      </w:pPr>
    </w:p>
    <w:p w14:paraId="596B256F" w14:textId="77777777" w:rsidR="000074F8" w:rsidRPr="001278B6" w:rsidRDefault="000074F8" w:rsidP="001278B6">
      <w:pPr>
        <w:pStyle w:val="a3"/>
        <w:widowControl/>
        <w:adjustRightInd w:val="0"/>
        <w:snapToGrid w:val="0"/>
        <w:rPr>
          <w:snapToGrid w:val="0"/>
          <w:lang w:val="da-DK"/>
        </w:rPr>
      </w:pPr>
    </w:p>
    <w:p w14:paraId="7E87EFDB" w14:textId="77777777" w:rsidR="000074F8" w:rsidRPr="001278B6" w:rsidRDefault="000074F8" w:rsidP="001278B6">
      <w:pPr>
        <w:widowControl/>
        <w:numPr>
          <w:ilvl w:val="0"/>
          <w:numId w:val="18"/>
        </w:num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1278B6">
        <w:rPr>
          <w:b/>
          <w:lang w:val="da-DK"/>
        </w:rPr>
        <w:t>SÆRLIG</w:t>
      </w:r>
      <w:r w:rsidRPr="001278B6">
        <w:rPr>
          <w:b/>
          <w:spacing w:val="-8"/>
          <w:lang w:val="da-DK"/>
        </w:rPr>
        <w:t xml:space="preserve"> </w:t>
      </w:r>
      <w:r w:rsidRPr="001278B6">
        <w:rPr>
          <w:b/>
          <w:lang w:val="da-DK"/>
        </w:rPr>
        <w:t>ADVARSEL</w:t>
      </w:r>
      <w:r w:rsidRPr="001278B6">
        <w:rPr>
          <w:b/>
          <w:spacing w:val="-7"/>
          <w:lang w:val="da-DK"/>
        </w:rPr>
        <w:t xml:space="preserve"> </w:t>
      </w:r>
      <w:r w:rsidRPr="001278B6">
        <w:rPr>
          <w:b/>
          <w:lang w:val="da-DK"/>
        </w:rPr>
        <w:t>OM,</w:t>
      </w:r>
      <w:r w:rsidRPr="001278B6">
        <w:rPr>
          <w:b/>
          <w:spacing w:val="-6"/>
          <w:lang w:val="da-DK"/>
        </w:rPr>
        <w:t xml:space="preserve"> </w:t>
      </w:r>
      <w:r w:rsidRPr="001278B6">
        <w:rPr>
          <w:b/>
          <w:lang w:val="da-DK"/>
        </w:rPr>
        <w:t>AT</w:t>
      </w:r>
      <w:r w:rsidRPr="001278B6">
        <w:rPr>
          <w:b/>
          <w:spacing w:val="-7"/>
          <w:lang w:val="da-DK"/>
        </w:rPr>
        <w:t xml:space="preserve"> </w:t>
      </w:r>
      <w:r w:rsidRPr="001278B6">
        <w:rPr>
          <w:b/>
          <w:lang w:val="da-DK"/>
        </w:rPr>
        <w:t>LÆGEMIDLET</w:t>
      </w:r>
      <w:r w:rsidRPr="001278B6">
        <w:rPr>
          <w:b/>
          <w:spacing w:val="-7"/>
          <w:lang w:val="da-DK"/>
        </w:rPr>
        <w:t xml:space="preserve"> </w:t>
      </w:r>
      <w:r w:rsidRPr="001278B6">
        <w:rPr>
          <w:b/>
          <w:lang w:val="da-DK"/>
        </w:rPr>
        <w:t>SKAL</w:t>
      </w:r>
      <w:r w:rsidRPr="001278B6">
        <w:rPr>
          <w:b/>
          <w:spacing w:val="-7"/>
          <w:lang w:val="da-DK"/>
        </w:rPr>
        <w:t xml:space="preserve"> </w:t>
      </w:r>
      <w:r w:rsidRPr="001278B6">
        <w:rPr>
          <w:b/>
          <w:lang w:val="da-DK"/>
        </w:rPr>
        <w:t>OPBEVARES UTILGÆNGELIGT FOR BØRN</w:t>
      </w:r>
    </w:p>
    <w:p w14:paraId="4009B146" w14:textId="77777777" w:rsidR="003563EF" w:rsidRPr="001278B6" w:rsidRDefault="003563EF" w:rsidP="001278B6">
      <w:pPr>
        <w:pStyle w:val="a3"/>
        <w:widowControl/>
        <w:adjustRightInd w:val="0"/>
        <w:snapToGrid w:val="0"/>
        <w:rPr>
          <w:snapToGrid w:val="0"/>
          <w:lang w:val="da-DK"/>
        </w:rPr>
      </w:pPr>
    </w:p>
    <w:p w14:paraId="4EE2A910" w14:textId="77777777" w:rsidR="003563EF" w:rsidRPr="001278B6" w:rsidRDefault="00473235" w:rsidP="001278B6">
      <w:pPr>
        <w:pStyle w:val="a3"/>
        <w:widowControl/>
        <w:adjustRightInd w:val="0"/>
        <w:snapToGrid w:val="0"/>
        <w:rPr>
          <w:snapToGrid w:val="0"/>
          <w:lang w:val="da-DK"/>
        </w:rPr>
      </w:pPr>
      <w:r w:rsidRPr="001278B6">
        <w:rPr>
          <w:snapToGrid w:val="0"/>
          <w:lang w:val="da-DK"/>
        </w:rPr>
        <w:t>Opbevares utilgængeligt for børn</w:t>
      </w:r>
    </w:p>
    <w:p w14:paraId="687CB476" w14:textId="77777777" w:rsidR="003563EF" w:rsidRPr="001278B6" w:rsidRDefault="003563EF" w:rsidP="001278B6">
      <w:pPr>
        <w:pStyle w:val="a3"/>
        <w:widowControl/>
        <w:adjustRightInd w:val="0"/>
        <w:snapToGrid w:val="0"/>
        <w:rPr>
          <w:snapToGrid w:val="0"/>
          <w:lang w:val="da-DK"/>
        </w:rPr>
      </w:pPr>
    </w:p>
    <w:p w14:paraId="1323F10E" w14:textId="77777777" w:rsidR="00D610AE" w:rsidRPr="001278B6" w:rsidRDefault="00D610AE" w:rsidP="001278B6">
      <w:pPr>
        <w:pStyle w:val="a3"/>
        <w:widowControl/>
        <w:adjustRightInd w:val="0"/>
        <w:snapToGrid w:val="0"/>
        <w:rPr>
          <w:snapToGrid w:val="0"/>
          <w:lang w:val="da-DK"/>
        </w:rPr>
      </w:pPr>
    </w:p>
    <w:p w14:paraId="64E365EC" w14:textId="77777777" w:rsidR="00D610AE" w:rsidRPr="001278B6" w:rsidRDefault="00D610AE"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7.</w:t>
      </w:r>
      <w:r w:rsidRPr="001278B6">
        <w:rPr>
          <w:b/>
          <w:lang w:val="da-DK"/>
        </w:rPr>
        <w:tab/>
        <w:t>EVENTUELLE</w:t>
      </w:r>
      <w:r w:rsidRPr="001278B6">
        <w:rPr>
          <w:b/>
          <w:spacing w:val="-10"/>
          <w:lang w:val="da-DK"/>
        </w:rPr>
        <w:t xml:space="preserve"> </w:t>
      </w:r>
      <w:r w:rsidRPr="001278B6">
        <w:rPr>
          <w:b/>
          <w:lang w:val="da-DK"/>
        </w:rPr>
        <w:t>ANDRE</w:t>
      </w:r>
      <w:r w:rsidRPr="001278B6">
        <w:rPr>
          <w:b/>
          <w:spacing w:val="-8"/>
          <w:lang w:val="da-DK"/>
        </w:rPr>
        <w:t xml:space="preserve"> </w:t>
      </w:r>
      <w:r w:rsidRPr="001278B6">
        <w:rPr>
          <w:b/>
          <w:lang w:val="da-DK"/>
        </w:rPr>
        <w:t>SÆRLIGE</w:t>
      </w:r>
      <w:r w:rsidRPr="001278B6">
        <w:rPr>
          <w:b/>
          <w:spacing w:val="-8"/>
          <w:lang w:val="da-DK"/>
        </w:rPr>
        <w:t xml:space="preserve"> </w:t>
      </w:r>
      <w:r w:rsidRPr="001278B6">
        <w:rPr>
          <w:b/>
          <w:spacing w:val="-2"/>
          <w:lang w:val="da-DK"/>
        </w:rPr>
        <w:t>ADVARSLER</w:t>
      </w:r>
    </w:p>
    <w:p w14:paraId="02CA05A6" w14:textId="77777777" w:rsidR="003563EF" w:rsidRPr="001278B6" w:rsidRDefault="003563EF" w:rsidP="001278B6">
      <w:pPr>
        <w:pStyle w:val="a3"/>
        <w:widowControl/>
        <w:adjustRightInd w:val="0"/>
        <w:snapToGrid w:val="0"/>
        <w:rPr>
          <w:snapToGrid w:val="0"/>
          <w:lang w:val="da-DK"/>
        </w:rPr>
      </w:pPr>
    </w:p>
    <w:p w14:paraId="1B476EE6" w14:textId="77777777" w:rsidR="003563EF" w:rsidRPr="001278B6" w:rsidRDefault="003563EF" w:rsidP="001278B6">
      <w:pPr>
        <w:pStyle w:val="a3"/>
        <w:widowControl/>
        <w:adjustRightInd w:val="0"/>
        <w:snapToGrid w:val="0"/>
        <w:rPr>
          <w:snapToGrid w:val="0"/>
          <w:lang w:val="da-DK"/>
        </w:rPr>
      </w:pPr>
    </w:p>
    <w:p w14:paraId="1E762CE0" w14:textId="77777777" w:rsidR="00D610AE" w:rsidRPr="001278B6" w:rsidRDefault="00D610AE" w:rsidP="001278B6">
      <w:pPr>
        <w:pStyle w:val="a3"/>
        <w:widowControl/>
        <w:adjustRightInd w:val="0"/>
        <w:snapToGrid w:val="0"/>
        <w:rPr>
          <w:snapToGrid w:val="0"/>
          <w:lang w:val="da-DK"/>
        </w:rPr>
      </w:pPr>
    </w:p>
    <w:p w14:paraId="36A44426" w14:textId="77777777" w:rsidR="003563EF" w:rsidRPr="001278B6" w:rsidRDefault="00D610AE"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8.</w:t>
      </w:r>
      <w:r w:rsidRPr="001278B6">
        <w:rPr>
          <w:b/>
          <w:lang w:val="da-DK"/>
        </w:rPr>
        <w:tab/>
      </w:r>
      <w:r w:rsidRPr="001278B6">
        <w:rPr>
          <w:b/>
          <w:spacing w:val="-2"/>
          <w:lang w:val="da-DK"/>
        </w:rPr>
        <w:t>UDLØBSDATO</w:t>
      </w:r>
    </w:p>
    <w:p w14:paraId="56D7372D" w14:textId="77777777" w:rsidR="003563EF" w:rsidRPr="001278B6" w:rsidRDefault="003563EF" w:rsidP="001278B6">
      <w:pPr>
        <w:pStyle w:val="a3"/>
        <w:widowControl/>
        <w:adjustRightInd w:val="0"/>
        <w:snapToGrid w:val="0"/>
        <w:rPr>
          <w:snapToGrid w:val="0"/>
          <w:lang w:val="da-DK"/>
        </w:rPr>
      </w:pPr>
    </w:p>
    <w:p w14:paraId="196C9D3B" w14:textId="77777777" w:rsidR="003563EF" w:rsidRPr="001278B6" w:rsidRDefault="00473235" w:rsidP="001278B6">
      <w:pPr>
        <w:pStyle w:val="a3"/>
        <w:widowControl/>
        <w:adjustRightInd w:val="0"/>
        <w:snapToGrid w:val="0"/>
        <w:rPr>
          <w:snapToGrid w:val="0"/>
          <w:lang w:val="da-DK"/>
        </w:rPr>
      </w:pPr>
      <w:r w:rsidRPr="001278B6">
        <w:rPr>
          <w:snapToGrid w:val="0"/>
          <w:lang w:val="da-DK"/>
        </w:rPr>
        <w:t>EXP</w:t>
      </w:r>
    </w:p>
    <w:p w14:paraId="76D898C7" w14:textId="77777777" w:rsidR="003563EF" w:rsidRPr="001278B6" w:rsidRDefault="003563EF" w:rsidP="001278B6">
      <w:pPr>
        <w:pStyle w:val="a3"/>
        <w:widowControl/>
        <w:adjustRightInd w:val="0"/>
        <w:snapToGrid w:val="0"/>
        <w:rPr>
          <w:snapToGrid w:val="0"/>
          <w:lang w:val="da-DK"/>
        </w:rPr>
      </w:pPr>
    </w:p>
    <w:p w14:paraId="6E69FAE8" w14:textId="77777777" w:rsidR="00D610AE" w:rsidRPr="001278B6" w:rsidRDefault="00D610AE" w:rsidP="001278B6">
      <w:pPr>
        <w:pStyle w:val="a3"/>
        <w:widowControl/>
        <w:adjustRightInd w:val="0"/>
        <w:snapToGrid w:val="0"/>
        <w:rPr>
          <w:snapToGrid w:val="0"/>
          <w:lang w:val="da-DK"/>
        </w:rPr>
      </w:pPr>
    </w:p>
    <w:p w14:paraId="72CB96C8" w14:textId="77777777" w:rsidR="00D610AE" w:rsidRPr="001278B6" w:rsidRDefault="00D610AE" w:rsidP="001278B6">
      <w:pPr>
        <w:keepNext/>
        <w:keepLines/>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lastRenderedPageBreak/>
        <w:t>9.</w:t>
      </w:r>
      <w:r w:rsidRPr="001278B6">
        <w:rPr>
          <w:b/>
          <w:lang w:val="da-DK"/>
        </w:rPr>
        <w:tab/>
        <w:t>SÆRLIGE</w:t>
      </w:r>
      <w:r w:rsidRPr="001278B6">
        <w:rPr>
          <w:b/>
          <w:spacing w:val="-7"/>
          <w:lang w:val="da-DK"/>
        </w:rPr>
        <w:t xml:space="preserve"> </w:t>
      </w:r>
      <w:r w:rsidRPr="001278B6">
        <w:rPr>
          <w:b/>
          <w:spacing w:val="-2"/>
          <w:lang w:val="da-DK"/>
        </w:rPr>
        <w:t>OPBEVARINGSBETINGELSER</w:t>
      </w:r>
    </w:p>
    <w:p w14:paraId="07646448" w14:textId="77777777" w:rsidR="003563EF" w:rsidRPr="001278B6" w:rsidRDefault="003563EF" w:rsidP="001278B6">
      <w:pPr>
        <w:pStyle w:val="a3"/>
        <w:keepNext/>
        <w:keepLines/>
        <w:widowControl/>
        <w:adjustRightInd w:val="0"/>
        <w:snapToGrid w:val="0"/>
        <w:rPr>
          <w:snapToGrid w:val="0"/>
          <w:lang w:val="da-DK"/>
        </w:rPr>
      </w:pPr>
    </w:p>
    <w:p w14:paraId="3167C7BE" w14:textId="77777777" w:rsidR="00385BB7" w:rsidRDefault="00473235" w:rsidP="001278B6">
      <w:pPr>
        <w:pStyle w:val="a3"/>
        <w:keepNext/>
        <w:keepLines/>
        <w:widowControl/>
        <w:adjustRightInd w:val="0"/>
        <w:snapToGrid w:val="0"/>
        <w:rPr>
          <w:snapToGrid w:val="0"/>
          <w:lang w:val="da-DK"/>
        </w:rPr>
      </w:pPr>
      <w:r w:rsidRPr="001278B6">
        <w:rPr>
          <w:snapToGrid w:val="0"/>
          <w:lang w:val="da-DK"/>
        </w:rPr>
        <w:t>Opbevares i køleskab (2 ºC – 8 ºC)</w:t>
      </w:r>
    </w:p>
    <w:p w14:paraId="75669697" w14:textId="77777777" w:rsidR="003563EF" w:rsidRPr="001278B6" w:rsidRDefault="00473235" w:rsidP="001278B6">
      <w:pPr>
        <w:pStyle w:val="a3"/>
        <w:keepNext/>
        <w:keepLines/>
        <w:widowControl/>
        <w:adjustRightInd w:val="0"/>
        <w:snapToGrid w:val="0"/>
        <w:rPr>
          <w:snapToGrid w:val="0"/>
          <w:lang w:val="da-DK"/>
        </w:rPr>
      </w:pPr>
      <w:r w:rsidRPr="001278B6">
        <w:rPr>
          <w:snapToGrid w:val="0"/>
          <w:lang w:val="da-DK"/>
        </w:rPr>
        <w:t>Må ikke nedfryses</w:t>
      </w:r>
    </w:p>
    <w:p w14:paraId="7BAC2580" w14:textId="77777777" w:rsidR="003563EF" w:rsidRPr="001278B6" w:rsidRDefault="00473235" w:rsidP="001278B6">
      <w:pPr>
        <w:pStyle w:val="a3"/>
        <w:widowControl/>
        <w:adjustRightInd w:val="0"/>
        <w:snapToGrid w:val="0"/>
        <w:rPr>
          <w:snapToGrid w:val="0"/>
          <w:lang w:val="da-DK"/>
        </w:rPr>
      </w:pPr>
      <w:r w:rsidRPr="001278B6">
        <w:rPr>
          <w:snapToGrid w:val="0"/>
          <w:lang w:val="da-DK"/>
        </w:rPr>
        <w:t>Opbevar hætteglasset i den ydre karton</w:t>
      </w:r>
      <w:r w:rsidR="00573E1A">
        <w:rPr>
          <w:snapToGrid w:val="0"/>
          <w:lang w:val="da-DK"/>
        </w:rPr>
        <w:t>, for at beskytte det mod lys.</w:t>
      </w:r>
    </w:p>
    <w:p w14:paraId="16278914" w14:textId="77777777" w:rsidR="0079124A" w:rsidRPr="001278B6" w:rsidRDefault="0079124A" w:rsidP="001278B6">
      <w:pPr>
        <w:widowControl/>
        <w:adjustRightInd w:val="0"/>
        <w:snapToGrid w:val="0"/>
        <w:rPr>
          <w:snapToGrid w:val="0"/>
          <w:lang w:val="da-DK"/>
        </w:rPr>
      </w:pPr>
    </w:p>
    <w:p w14:paraId="05C27533" w14:textId="77777777" w:rsidR="003563EF" w:rsidRPr="001278B6" w:rsidRDefault="003563EF" w:rsidP="001278B6">
      <w:pPr>
        <w:pStyle w:val="a3"/>
        <w:widowControl/>
        <w:adjustRightInd w:val="0"/>
        <w:snapToGrid w:val="0"/>
        <w:rPr>
          <w:snapToGrid w:val="0"/>
          <w:lang w:val="da-DK"/>
        </w:rPr>
      </w:pPr>
    </w:p>
    <w:p w14:paraId="1016CA18" w14:textId="77777777" w:rsidR="00D610AE" w:rsidRPr="001278B6" w:rsidRDefault="00D610AE" w:rsidP="001278B6">
      <w:pPr>
        <w:keepNext/>
        <w:keepLines/>
        <w:widowControl/>
        <w:pBdr>
          <w:top w:val="single" w:sz="4" w:space="1" w:color="auto"/>
          <w:left w:val="single" w:sz="4" w:space="4" w:color="auto"/>
          <w:bottom w:val="single" w:sz="4" w:space="1" w:color="auto"/>
          <w:right w:val="single" w:sz="4" w:space="4" w:color="auto"/>
        </w:pBdr>
        <w:tabs>
          <w:tab w:val="left" w:pos="567"/>
        </w:tabs>
        <w:ind w:left="567" w:right="306" w:hanging="567"/>
        <w:rPr>
          <w:b/>
          <w:lang w:val="da-DK"/>
        </w:rPr>
      </w:pPr>
      <w:r w:rsidRPr="001278B6">
        <w:rPr>
          <w:b/>
          <w:spacing w:val="-4"/>
          <w:lang w:val="da-DK"/>
        </w:rPr>
        <w:t>10.</w:t>
      </w:r>
      <w:r w:rsidRPr="001278B6">
        <w:rPr>
          <w:b/>
          <w:lang w:val="da-DK"/>
        </w:rPr>
        <w:tab/>
        <w:t>EVENTUELLE</w:t>
      </w:r>
      <w:r w:rsidRPr="001278B6">
        <w:rPr>
          <w:b/>
          <w:spacing w:val="-7"/>
          <w:lang w:val="da-DK"/>
        </w:rPr>
        <w:t xml:space="preserve"> </w:t>
      </w:r>
      <w:r w:rsidRPr="001278B6">
        <w:rPr>
          <w:b/>
          <w:lang w:val="da-DK"/>
        </w:rPr>
        <w:t>SÆRLIGE</w:t>
      </w:r>
      <w:r w:rsidRPr="001278B6">
        <w:rPr>
          <w:b/>
          <w:spacing w:val="-7"/>
          <w:lang w:val="da-DK"/>
        </w:rPr>
        <w:t xml:space="preserve"> </w:t>
      </w:r>
      <w:r w:rsidRPr="001278B6">
        <w:rPr>
          <w:b/>
          <w:lang w:val="da-DK"/>
        </w:rPr>
        <w:t>FORHOLDSREGLER</w:t>
      </w:r>
      <w:r w:rsidRPr="001278B6">
        <w:rPr>
          <w:b/>
          <w:spacing w:val="-7"/>
          <w:lang w:val="da-DK"/>
        </w:rPr>
        <w:t xml:space="preserve"> </w:t>
      </w:r>
      <w:r w:rsidRPr="001278B6">
        <w:rPr>
          <w:b/>
          <w:lang w:val="da-DK"/>
        </w:rPr>
        <w:t>VED</w:t>
      </w:r>
      <w:r w:rsidRPr="001278B6">
        <w:rPr>
          <w:b/>
          <w:spacing w:val="-7"/>
          <w:lang w:val="da-DK"/>
        </w:rPr>
        <w:t xml:space="preserve"> </w:t>
      </w:r>
      <w:r w:rsidRPr="001278B6">
        <w:rPr>
          <w:b/>
          <w:lang w:val="da-DK"/>
        </w:rPr>
        <w:t>BORTSKAFFELSE</w:t>
      </w:r>
      <w:r w:rsidRPr="001278B6">
        <w:rPr>
          <w:b/>
          <w:spacing w:val="-7"/>
          <w:lang w:val="da-DK"/>
        </w:rPr>
        <w:t xml:space="preserve"> </w:t>
      </w:r>
      <w:r w:rsidRPr="001278B6">
        <w:rPr>
          <w:b/>
          <w:lang w:val="da-DK"/>
        </w:rPr>
        <w:t>AF</w:t>
      </w:r>
      <w:r w:rsidRPr="001278B6">
        <w:rPr>
          <w:b/>
          <w:spacing w:val="-4"/>
          <w:lang w:val="da-DK"/>
        </w:rPr>
        <w:t xml:space="preserve"> </w:t>
      </w:r>
      <w:r w:rsidRPr="001278B6">
        <w:rPr>
          <w:b/>
          <w:lang w:val="da-DK"/>
        </w:rPr>
        <w:t>IKKE ANVENDT LÆGEMIDDEL SAMT AFFALD HERAF</w:t>
      </w:r>
    </w:p>
    <w:p w14:paraId="5553C6C5" w14:textId="77777777" w:rsidR="003563EF" w:rsidRPr="001278B6" w:rsidRDefault="003563EF" w:rsidP="001278B6">
      <w:pPr>
        <w:pStyle w:val="a3"/>
        <w:keepNext/>
        <w:keepLines/>
        <w:widowControl/>
        <w:adjustRightInd w:val="0"/>
        <w:snapToGrid w:val="0"/>
        <w:rPr>
          <w:snapToGrid w:val="0"/>
          <w:lang w:val="da-DK"/>
        </w:rPr>
      </w:pPr>
    </w:p>
    <w:p w14:paraId="09FD5B6C" w14:textId="77777777" w:rsidR="003563EF" w:rsidRPr="001278B6" w:rsidRDefault="003563EF" w:rsidP="001278B6">
      <w:pPr>
        <w:pStyle w:val="a3"/>
        <w:widowControl/>
        <w:adjustRightInd w:val="0"/>
        <w:snapToGrid w:val="0"/>
        <w:rPr>
          <w:snapToGrid w:val="0"/>
          <w:lang w:val="da-DK"/>
        </w:rPr>
      </w:pPr>
    </w:p>
    <w:p w14:paraId="57A8E845" w14:textId="77777777" w:rsidR="0031757E" w:rsidRPr="001278B6" w:rsidRDefault="0031757E"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11.</w:t>
      </w:r>
      <w:r w:rsidRPr="001278B6">
        <w:rPr>
          <w:b/>
          <w:lang w:val="da-DK"/>
        </w:rPr>
        <w:tab/>
        <w:t>NAVN</w:t>
      </w:r>
      <w:r w:rsidRPr="001278B6">
        <w:rPr>
          <w:b/>
          <w:spacing w:val="-8"/>
          <w:lang w:val="da-DK"/>
        </w:rPr>
        <w:t xml:space="preserve"> </w:t>
      </w:r>
      <w:r w:rsidRPr="001278B6">
        <w:rPr>
          <w:b/>
          <w:lang w:val="da-DK"/>
        </w:rPr>
        <w:t>OG</w:t>
      </w:r>
      <w:r w:rsidRPr="001278B6">
        <w:rPr>
          <w:b/>
          <w:spacing w:val="-6"/>
          <w:lang w:val="da-DK"/>
        </w:rPr>
        <w:t xml:space="preserve"> </w:t>
      </w:r>
      <w:r w:rsidRPr="001278B6">
        <w:rPr>
          <w:b/>
          <w:lang w:val="da-DK"/>
        </w:rPr>
        <w:t>ADRESSE</w:t>
      </w:r>
      <w:r w:rsidRPr="001278B6">
        <w:rPr>
          <w:b/>
          <w:spacing w:val="-6"/>
          <w:lang w:val="da-DK"/>
        </w:rPr>
        <w:t xml:space="preserve"> </w:t>
      </w:r>
      <w:r w:rsidRPr="001278B6">
        <w:rPr>
          <w:b/>
          <w:lang w:val="da-DK"/>
        </w:rPr>
        <w:t>PÅ</w:t>
      </w:r>
      <w:r w:rsidRPr="001278B6">
        <w:rPr>
          <w:b/>
          <w:spacing w:val="-5"/>
          <w:lang w:val="da-DK"/>
        </w:rPr>
        <w:t xml:space="preserve"> </w:t>
      </w:r>
      <w:r w:rsidRPr="001278B6">
        <w:rPr>
          <w:b/>
          <w:lang w:val="da-DK"/>
        </w:rPr>
        <w:t>INDEHAVEREN</w:t>
      </w:r>
      <w:r w:rsidRPr="001278B6">
        <w:rPr>
          <w:b/>
          <w:spacing w:val="-6"/>
          <w:lang w:val="da-DK"/>
        </w:rPr>
        <w:t xml:space="preserve"> </w:t>
      </w:r>
      <w:r w:rsidRPr="001278B6">
        <w:rPr>
          <w:b/>
          <w:lang w:val="da-DK"/>
        </w:rPr>
        <w:t>AF</w:t>
      </w:r>
      <w:r w:rsidRPr="001278B6">
        <w:rPr>
          <w:b/>
          <w:spacing w:val="-2"/>
          <w:lang w:val="da-DK"/>
        </w:rPr>
        <w:t xml:space="preserve"> MARKEDSFØRINGSTILLADELSEN</w:t>
      </w:r>
    </w:p>
    <w:p w14:paraId="05E37517" w14:textId="77777777" w:rsidR="003563EF" w:rsidRPr="001278B6" w:rsidRDefault="003563EF" w:rsidP="001278B6">
      <w:pPr>
        <w:pStyle w:val="a3"/>
        <w:widowControl/>
        <w:adjustRightInd w:val="0"/>
        <w:snapToGrid w:val="0"/>
        <w:rPr>
          <w:snapToGrid w:val="0"/>
          <w:lang w:val="da-DK"/>
        </w:rPr>
      </w:pPr>
    </w:p>
    <w:p w14:paraId="020F948E" w14:textId="77777777" w:rsidR="00573E1A" w:rsidRPr="00C16207" w:rsidRDefault="00573E1A" w:rsidP="00573E1A">
      <w:pPr>
        <w:widowControl/>
        <w:adjustRightInd w:val="0"/>
        <w:snapToGrid w:val="0"/>
        <w:rPr>
          <w:color w:val="000000"/>
          <w:lang w:val="en-GB" w:eastAsia="ko-KR"/>
        </w:rPr>
      </w:pPr>
      <w:r w:rsidRPr="00C16207">
        <w:rPr>
          <w:color w:val="000000"/>
          <w:lang w:val="en-GB" w:eastAsia="ko-KR"/>
        </w:rPr>
        <w:t xml:space="preserve">Celltrion Healthcare Hungary Kft. </w:t>
      </w:r>
    </w:p>
    <w:p w14:paraId="2AC2AA9C" w14:textId="77777777" w:rsidR="00573E1A" w:rsidRPr="00C16207" w:rsidRDefault="00573E1A" w:rsidP="00573E1A">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0917DDCC" w14:textId="77777777" w:rsidR="00573E1A" w:rsidRPr="00C16207" w:rsidRDefault="00573E1A" w:rsidP="00573E1A">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4B3750">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3A48B49" w14:textId="77777777" w:rsidR="00573E1A" w:rsidRPr="00C16207" w:rsidRDefault="00573E1A" w:rsidP="00573E1A">
      <w:pPr>
        <w:widowControl/>
        <w:adjustRightInd w:val="0"/>
        <w:snapToGrid w:val="0"/>
        <w:rPr>
          <w:color w:val="000000"/>
          <w:lang w:val="en-GB" w:eastAsia="ko-KR"/>
        </w:rPr>
      </w:pPr>
      <w:proofErr w:type="spellStart"/>
      <w:r>
        <w:rPr>
          <w:color w:val="000000"/>
          <w:lang w:val="en-GB" w:eastAsia="ko-KR"/>
        </w:rPr>
        <w:t>Ungarn</w:t>
      </w:r>
      <w:proofErr w:type="spellEnd"/>
    </w:p>
    <w:p w14:paraId="0A8067DC" w14:textId="77777777" w:rsidR="003563EF" w:rsidRPr="00051658" w:rsidRDefault="003563EF" w:rsidP="001278B6">
      <w:pPr>
        <w:pStyle w:val="a3"/>
        <w:widowControl/>
        <w:adjustRightInd w:val="0"/>
        <w:snapToGrid w:val="0"/>
        <w:rPr>
          <w:snapToGrid w:val="0"/>
        </w:rPr>
      </w:pPr>
    </w:p>
    <w:p w14:paraId="7B1D0B9B" w14:textId="77777777" w:rsidR="0031757E" w:rsidRPr="00051658" w:rsidRDefault="0031757E" w:rsidP="001278B6">
      <w:pPr>
        <w:pStyle w:val="a3"/>
        <w:widowControl/>
        <w:adjustRightInd w:val="0"/>
        <w:snapToGrid w:val="0"/>
        <w:rPr>
          <w:snapToGrid w:val="0"/>
        </w:rPr>
      </w:pPr>
    </w:p>
    <w:p w14:paraId="24532B5A" w14:textId="77777777" w:rsidR="0031757E" w:rsidRPr="001278B6" w:rsidRDefault="0031757E"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12.</w:t>
      </w:r>
      <w:r w:rsidRPr="001278B6">
        <w:rPr>
          <w:b/>
          <w:lang w:val="da-DK"/>
        </w:rPr>
        <w:tab/>
      </w:r>
      <w:r w:rsidRPr="001278B6">
        <w:rPr>
          <w:b/>
          <w:spacing w:val="-2"/>
          <w:lang w:val="da-DK"/>
        </w:rPr>
        <w:t>MARKEDSFØRINGSTILLADELSESNUMMER</w:t>
      </w:r>
      <w:r w:rsidRPr="001278B6">
        <w:rPr>
          <w:b/>
          <w:spacing w:val="29"/>
          <w:lang w:val="da-DK"/>
        </w:rPr>
        <w:t xml:space="preserve"> </w:t>
      </w:r>
      <w:r w:rsidRPr="001278B6">
        <w:rPr>
          <w:b/>
          <w:spacing w:val="-2"/>
          <w:lang w:val="da-DK"/>
        </w:rPr>
        <w:t>(NUMRE)</w:t>
      </w:r>
    </w:p>
    <w:p w14:paraId="25B2E0DB" w14:textId="77777777" w:rsidR="003563EF" w:rsidRPr="001278B6" w:rsidRDefault="003563EF" w:rsidP="001278B6">
      <w:pPr>
        <w:pStyle w:val="a3"/>
        <w:widowControl/>
        <w:adjustRightInd w:val="0"/>
        <w:snapToGrid w:val="0"/>
        <w:rPr>
          <w:snapToGrid w:val="0"/>
          <w:lang w:val="da-DK"/>
        </w:rPr>
      </w:pPr>
    </w:p>
    <w:p w14:paraId="5A68FE22" w14:textId="026E40C2" w:rsidR="00573E1A" w:rsidRPr="00D31843" w:rsidRDefault="001D1422" w:rsidP="00573E1A">
      <w:pPr>
        <w:widowControl/>
        <w:adjustRightInd w:val="0"/>
        <w:snapToGrid w:val="0"/>
        <w:rPr>
          <w:rFonts w:eastAsia="바탕"/>
          <w:color w:val="000000"/>
          <w:highlight w:val="lightGray"/>
          <w:lang w:val="da-DK"/>
        </w:rPr>
      </w:pPr>
      <w:r w:rsidRPr="00822465">
        <w:rPr>
          <w:rFonts w:eastAsia="바탕"/>
          <w:lang w:val="da-DK"/>
        </w:rPr>
        <w:t xml:space="preserve">EU/1/22/1667/002 </w:t>
      </w:r>
      <w:r w:rsidR="00573E1A" w:rsidRPr="00D31843">
        <w:rPr>
          <w:rFonts w:eastAsia="바탕"/>
          <w:color w:val="000000"/>
          <w:highlight w:val="lightGray"/>
          <w:lang w:val="da-DK"/>
        </w:rPr>
        <w:t>1 hætteglas</w:t>
      </w:r>
    </w:p>
    <w:p w14:paraId="08EA509F" w14:textId="5AB7104B" w:rsidR="00573E1A" w:rsidRPr="00515644" w:rsidRDefault="001D1422" w:rsidP="00573E1A">
      <w:pPr>
        <w:widowControl/>
        <w:adjustRightInd w:val="0"/>
        <w:snapToGrid w:val="0"/>
        <w:rPr>
          <w:noProof/>
          <w:color w:val="000000"/>
          <w:lang w:val="da-DK"/>
        </w:rPr>
      </w:pPr>
      <w:r w:rsidRPr="00F466A3">
        <w:rPr>
          <w:rFonts w:eastAsia="바탕"/>
          <w:color w:val="000000"/>
          <w:highlight w:val="lightGray"/>
          <w:lang w:val="da-DK"/>
        </w:rPr>
        <w:t xml:space="preserve">EU/1/22/1667/004 </w:t>
      </w:r>
      <w:r w:rsidR="00573E1A" w:rsidRPr="00D31843">
        <w:rPr>
          <w:rFonts w:eastAsia="바탕"/>
          <w:color w:val="000000"/>
          <w:highlight w:val="lightGray"/>
          <w:lang w:val="da-DK"/>
        </w:rPr>
        <w:t>10 hætteglas</w:t>
      </w:r>
    </w:p>
    <w:p w14:paraId="6F3830EB" w14:textId="1127D204" w:rsidR="00C34F7D" w:rsidRPr="00515644" w:rsidRDefault="00C34F7D" w:rsidP="00C34F7D">
      <w:pPr>
        <w:widowControl/>
        <w:adjustRightInd w:val="0"/>
        <w:snapToGrid w:val="0"/>
        <w:rPr>
          <w:noProof/>
          <w:color w:val="000000"/>
          <w:lang w:val="da-DK"/>
        </w:rPr>
      </w:pPr>
      <w:r w:rsidRPr="00F466A3">
        <w:rPr>
          <w:rFonts w:eastAsia="바탕"/>
          <w:color w:val="000000"/>
          <w:highlight w:val="lightGray"/>
          <w:lang w:val="da-DK"/>
        </w:rPr>
        <w:t>EU/1/22/1667/00</w:t>
      </w:r>
      <w:r>
        <w:rPr>
          <w:rFonts w:eastAsia="바탕" w:hint="eastAsia"/>
          <w:color w:val="000000"/>
          <w:highlight w:val="lightGray"/>
          <w:lang w:val="da-DK" w:eastAsia="ko-KR"/>
        </w:rPr>
        <w:t>5</w:t>
      </w:r>
      <w:r w:rsidRPr="00F466A3">
        <w:rPr>
          <w:rFonts w:eastAsia="바탕"/>
          <w:color w:val="000000"/>
          <w:highlight w:val="lightGray"/>
          <w:lang w:val="da-DK"/>
        </w:rPr>
        <w:t xml:space="preserve"> </w:t>
      </w:r>
      <w:r>
        <w:rPr>
          <w:rFonts w:eastAsia="바탕" w:hint="eastAsia"/>
          <w:color w:val="000000"/>
          <w:highlight w:val="lightGray"/>
          <w:lang w:val="da-DK" w:eastAsia="ko-KR"/>
        </w:rPr>
        <w:t>2</w:t>
      </w:r>
      <w:r w:rsidRPr="00D31843">
        <w:rPr>
          <w:rFonts w:eastAsia="바탕"/>
          <w:color w:val="000000"/>
          <w:highlight w:val="lightGray"/>
          <w:lang w:val="da-DK"/>
        </w:rPr>
        <w:t xml:space="preserve"> hætteglas</w:t>
      </w:r>
    </w:p>
    <w:p w14:paraId="20239751" w14:textId="77777777" w:rsidR="003563EF" w:rsidRPr="001278B6" w:rsidRDefault="003563EF" w:rsidP="001278B6">
      <w:pPr>
        <w:pStyle w:val="a3"/>
        <w:widowControl/>
        <w:adjustRightInd w:val="0"/>
        <w:snapToGrid w:val="0"/>
        <w:rPr>
          <w:snapToGrid w:val="0"/>
          <w:lang w:val="da-DK"/>
        </w:rPr>
      </w:pPr>
    </w:p>
    <w:p w14:paraId="1070B0B5" w14:textId="77777777" w:rsidR="009C00BF" w:rsidRPr="001278B6" w:rsidRDefault="009C00BF" w:rsidP="001278B6">
      <w:pPr>
        <w:pStyle w:val="a3"/>
        <w:widowControl/>
        <w:adjustRightInd w:val="0"/>
        <w:snapToGrid w:val="0"/>
        <w:rPr>
          <w:snapToGrid w:val="0"/>
          <w:lang w:val="da-DK"/>
        </w:rPr>
      </w:pPr>
    </w:p>
    <w:p w14:paraId="4E37BEA9" w14:textId="77777777" w:rsidR="003563EF" w:rsidRPr="001278B6" w:rsidRDefault="009C00B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13.</w:t>
      </w:r>
      <w:r w:rsidRPr="001278B6">
        <w:rPr>
          <w:b/>
          <w:lang w:val="da-DK"/>
        </w:rPr>
        <w:tab/>
      </w:r>
      <w:r w:rsidRPr="001278B6">
        <w:rPr>
          <w:b/>
          <w:spacing w:val="-2"/>
          <w:lang w:val="da-DK"/>
        </w:rPr>
        <w:t>BATCHNUMMER</w:t>
      </w:r>
    </w:p>
    <w:p w14:paraId="4B9A27FE" w14:textId="77777777" w:rsidR="003563EF" w:rsidRPr="001278B6" w:rsidRDefault="003563EF" w:rsidP="001278B6">
      <w:pPr>
        <w:pStyle w:val="a3"/>
        <w:widowControl/>
        <w:adjustRightInd w:val="0"/>
        <w:snapToGrid w:val="0"/>
        <w:rPr>
          <w:snapToGrid w:val="0"/>
          <w:lang w:val="da-DK"/>
        </w:rPr>
      </w:pPr>
    </w:p>
    <w:p w14:paraId="73FD29DD" w14:textId="77777777" w:rsidR="003563EF" w:rsidRPr="001278B6" w:rsidRDefault="004520E1" w:rsidP="001278B6">
      <w:pPr>
        <w:pStyle w:val="a3"/>
        <w:widowControl/>
        <w:adjustRightInd w:val="0"/>
        <w:snapToGrid w:val="0"/>
        <w:rPr>
          <w:snapToGrid w:val="0"/>
          <w:lang w:val="da-DK"/>
        </w:rPr>
      </w:pPr>
      <w:r>
        <w:rPr>
          <w:snapToGrid w:val="0"/>
          <w:lang w:val="da-DK"/>
        </w:rPr>
        <w:t>Lot</w:t>
      </w:r>
    </w:p>
    <w:p w14:paraId="523C0762" w14:textId="77777777" w:rsidR="003563EF" w:rsidRPr="001278B6" w:rsidRDefault="003563EF" w:rsidP="001278B6">
      <w:pPr>
        <w:pStyle w:val="a3"/>
        <w:widowControl/>
        <w:adjustRightInd w:val="0"/>
        <w:snapToGrid w:val="0"/>
        <w:rPr>
          <w:snapToGrid w:val="0"/>
          <w:lang w:val="da-DK"/>
        </w:rPr>
      </w:pPr>
    </w:p>
    <w:p w14:paraId="63F41D6E" w14:textId="77777777" w:rsidR="009C00BF" w:rsidRPr="001278B6" w:rsidRDefault="009C00BF" w:rsidP="001278B6">
      <w:pPr>
        <w:pStyle w:val="a3"/>
        <w:widowControl/>
        <w:adjustRightInd w:val="0"/>
        <w:snapToGrid w:val="0"/>
        <w:rPr>
          <w:snapToGrid w:val="0"/>
          <w:lang w:val="da-DK"/>
        </w:rPr>
      </w:pPr>
    </w:p>
    <w:p w14:paraId="2719F535" w14:textId="77777777" w:rsidR="009C00BF" w:rsidRPr="001278B6" w:rsidRDefault="009C00B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14.</w:t>
      </w:r>
      <w:r w:rsidRPr="001278B6">
        <w:rPr>
          <w:b/>
          <w:lang w:val="da-DK"/>
        </w:rPr>
        <w:tab/>
        <w:t>GENEREL</w:t>
      </w:r>
      <w:r w:rsidRPr="001278B6">
        <w:rPr>
          <w:b/>
          <w:spacing w:val="-7"/>
          <w:lang w:val="da-DK"/>
        </w:rPr>
        <w:t xml:space="preserve"> </w:t>
      </w:r>
      <w:r w:rsidRPr="001278B6">
        <w:rPr>
          <w:b/>
          <w:lang w:val="da-DK"/>
        </w:rPr>
        <w:t>KLASSIFIKATION</w:t>
      </w:r>
      <w:r w:rsidRPr="001278B6">
        <w:rPr>
          <w:b/>
          <w:spacing w:val="-9"/>
          <w:lang w:val="da-DK"/>
        </w:rPr>
        <w:t xml:space="preserve"> </w:t>
      </w:r>
      <w:r w:rsidRPr="001278B6">
        <w:rPr>
          <w:b/>
          <w:lang w:val="da-DK"/>
        </w:rPr>
        <w:t>FOR</w:t>
      </w:r>
      <w:r w:rsidRPr="001278B6">
        <w:rPr>
          <w:b/>
          <w:spacing w:val="-6"/>
          <w:lang w:val="da-DK"/>
        </w:rPr>
        <w:t xml:space="preserve"> </w:t>
      </w:r>
      <w:r w:rsidRPr="001278B6">
        <w:rPr>
          <w:b/>
          <w:spacing w:val="-2"/>
          <w:lang w:val="da-DK"/>
        </w:rPr>
        <w:t>UDLEVERING</w:t>
      </w:r>
    </w:p>
    <w:p w14:paraId="29E0A97A" w14:textId="77777777" w:rsidR="003563EF" w:rsidRPr="001278B6" w:rsidRDefault="003563EF" w:rsidP="001278B6">
      <w:pPr>
        <w:pStyle w:val="a3"/>
        <w:widowControl/>
        <w:adjustRightInd w:val="0"/>
        <w:snapToGrid w:val="0"/>
        <w:rPr>
          <w:snapToGrid w:val="0"/>
          <w:lang w:val="da-DK"/>
        </w:rPr>
      </w:pPr>
    </w:p>
    <w:p w14:paraId="2AD28224" w14:textId="77777777" w:rsidR="003563EF" w:rsidRPr="001278B6" w:rsidRDefault="00473235" w:rsidP="001278B6">
      <w:pPr>
        <w:pStyle w:val="a3"/>
        <w:widowControl/>
        <w:adjustRightInd w:val="0"/>
        <w:snapToGrid w:val="0"/>
        <w:rPr>
          <w:snapToGrid w:val="0"/>
          <w:lang w:val="da-DK"/>
        </w:rPr>
      </w:pPr>
      <w:r w:rsidRPr="001278B6">
        <w:rPr>
          <w:snapToGrid w:val="0"/>
          <w:lang w:val="da-DK"/>
        </w:rPr>
        <w:t>Receptpligtigt lægemiddel</w:t>
      </w:r>
    </w:p>
    <w:p w14:paraId="68D76A3B" w14:textId="77777777" w:rsidR="003563EF" w:rsidRPr="001278B6" w:rsidRDefault="003563EF" w:rsidP="001278B6">
      <w:pPr>
        <w:pStyle w:val="a3"/>
        <w:widowControl/>
        <w:adjustRightInd w:val="0"/>
        <w:snapToGrid w:val="0"/>
        <w:rPr>
          <w:snapToGrid w:val="0"/>
          <w:lang w:val="da-DK"/>
        </w:rPr>
      </w:pPr>
    </w:p>
    <w:p w14:paraId="2B133A64" w14:textId="77777777" w:rsidR="009C00BF" w:rsidRPr="001278B6" w:rsidRDefault="009C00BF" w:rsidP="001278B6">
      <w:pPr>
        <w:pStyle w:val="a3"/>
        <w:widowControl/>
        <w:adjustRightInd w:val="0"/>
        <w:snapToGrid w:val="0"/>
        <w:rPr>
          <w:snapToGrid w:val="0"/>
          <w:lang w:val="da-DK"/>
        </w:rPr>
      </w:pPr>
    </w:p>
    <w:p w14:paraId="1BB3E9D1" w14:textId="77777777" w:rsidR="009C00BF" w:rsidRPr="001278B6" w:rsidRDefault="009C00B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15.</w:t>
      </w:r>
      <w:r w:rsidRPr="001278B6">
        <w:rPr>
          <w:b/>
          <w:lang w:val="da-DK"/>
        </w:rPr>
        <w:tab/>
        <w:t>INSTRUKTIONER</w:t>
      </w:r>
      <w:r w:rsidRPr="001278B6">
        <w:rPr>
          <w:b/>
          <w:spacing w:val="-15"/>
          <w:lang w:val="da-DK"/>
        </w:rPr>
        <w:t xml:space="preserve"> </w:t>
      </w:r>
      <w:r w:rsidRPr="001278B6">
        <w:rPr>
          <w:b/>
          <w:lang w:val="da-DK"/>
        </w:rPr>
        <w:t>VEDRØRENDE</w:t>
      </w:r>
      <w:r w:rsidRPr="001278B6">
        <w:rPr>
          <w:b/>
          <w:spacing w:val="-12"/>
          <w:lang w:val="da-DK"/>
        </w:rPr>
        <w:t xml:space="preserve"> </w:t>
      </w:r>
      <w:r w:rsidRPr="001278B6">
        <w:rPr>
          <w:b/>
          <w:spacing w:val="-2"/>
          <w:lang w:val="da-DK"/>
        </w:rPr>
        <w:t>ANVENDELSEN</w:t>
      </w:r>
    </w:p>
    <w:p w14:paraId="601DC872" w14:textId="77777777" w:rsidR="003563EF" w:rsidRPr="001278B6" w:rsidRDefault="003563EF" w:rsidP="001278B6">
      <w:pPr>
        <w:pStyle w:val="a3"/>
        <w:widowControl/>
        <w:adjustRightInd w:val="0"/>
        <w:snapToGrid w:val="0"/>
        <w:rPr>
          <w:snapToGrid w:val="0"/>
          <w:lang w:val="da-DK"/>
        </w:rPr>
      </w:pPr>
    </w:p>
    <w:p w14:paraId="719FAF3A" w14:textId="77777777" w:rsidR="00D97E9A" w:rsidRPr="001278B6" w:rsidRDefault="00D97E9A" w:rsidP="001278B6">
      <w:pPr>
        <w:pStyle w:val="a3"/>
        <w:widowControl/>
        <w:adjustRightInd w:val="0"/>
        <w:snapToGrid w:val="0"/>
        <w:rPr>
          <w:snapToGrid w:val="0"/>
          <w:lang w:val="da-DK"/>
        </w:rPr>
      </w:pPr>
    </w:p>
    <w:p w14:paraId="161240E7" w14:textId="77777777" w:rsidR="00D97E9A" w:rsidRPr="001278B6" w:rsidRDefault="00D97E9A"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16.</w:t>
      </w:r>
      <w:r w:rsidRPr="001278B6">
        <w:rPr>
          <w:b/>
          <w:lang w:val="da-DK"/>
        </w:rPr>
        <w:tab/>
        <w:t>INFORMATION</w:t>
      </w:r>
      <w:r w:rsidRPr="001278B6">
        <w:rPr>
          <w:b/>
          <w:spacing w:val="-6"/>
          <w:lang w:val="da-DK"/>
        </w:rPr>
        <w:t xml:space="preserve"> </w:t>
      </w:r>
      <w:r w:rsidRPr="001278B6">
        <w:rPr>
          <w:b/>
          <w:lang w:val="da-DK"/>
        </w:rPr>
        <w:t>I</w:t>
      </w:r>
      <w:r w:rsidRPr="001278B6">
        <w:rPr>
          <w:b/>
          <w:spacing w:val="-5"/>
          <w:lang w:val="da-DK"/>
        </w:rPr>
        <w:t xml:space="preserve"> </w:t>
      </w:r>
      <w:r w:rsidRPr="001278B6">
        <w:rPr>
          <w:b/>
          <w:spacing w:val="-2"/>
          <w:lang w:val="da-DK"/>
        </w:rPr>
        <w:t>BRAILLESKRIFT</w:t>
      </w:r>
    </w:p>
    <w:p w14:paraId="5550A912" w14:textId="77777777" w:rsidR="003563EF" w:rsidRPr="001278B6" w:rsidRDefault="003563EF" w:rsidP="001278B6">
      <w:pPr>
        <w:pStyle w:val="a3"/>
        <w:widowControl/>
        <w:adjustRightInd w:val="0"/>
        <w:snapToGrid w:val="0"/>
        <w:rPr>
          <w:snapToGrid w:val="0"/>
          <w:lang w:val="da-DK"/>
        </w:rPr>
      </w:pPr>
    </w:p>
    <w:p w14:paraId="1272F880" w14:textId="77777777" w:rsidR="003563EF" w:rsidRPr="001278B6" w:rsidRDefault="00473235" w:rsidP="001278B6">
      <w:pPr>
        <w:pStyle w:val="a3"/>
        <w:widowControl/>
        <w:adjustRightInd w:val="0"/>
        <w:snapToGrid w:val="0"/>
        <w:rPr>
          <w:snapToGrid w:val="0"/>
          <w:lang w:val="da-DK"/>
        </w:rPr>
      </w:pPr>
      <w:r w:rsidRPr="001278B6">
        <w:rPr>
          <w:snapToGrid w:val="0"/>
          <w:color w:val="000000"/>
          <w:shd w:val="clear" w:color="auto" w:fill="D4D4D4"/>
          <w:lang w:val="da-DK"/>
        </w:rPr>
        <w:t>Fritaget for krav om blindeskrift</w:t>
      </w:r>
    </w:p>
    <w:p w14:paraId="5FB3FB9F" w14:textId="77777777" w:rsidR="003563EF" w:rsidRPr="001278B6" w:rsidRDefault="003563EF" w:rsidP="001278B6">
      <w:pPr>
        <w:pStyle w:val="a3"/>
        <w:widowControl/>
        <w:adjustRightInd w:val="0"/>
        <w:snapToGrid w:val="0"/>
        <w:rPr>
          <w:snapToGrid w:val="0"/>
          <w:lang w:val="da-DK"/>
        </w:rPr>
      </w:pPr>
    </w:p>
    <w:p w14:paraId="16C8FAA6" w14:textId="77777777" w:rsidR="00D97E9A" w:rsidRPr="001278B6" w:rsidRDefault="00D97E9A" w:rsidP="001278B6">
      <w:pPr>
        <w:pStyle w:val="a3"/>
        <w:widowControl/>
        <w:adjustRightInd w:val="0"/>
        <w:snapToGrid w:val="0"/>
        <w:rPr>
          <w:snapToGrid w:val="0"/>
          <w:lang w:val="da-DK"/>
        </w:rPr>
      </w:pPr>
    </w:p>
    <w:p w14:paraId="37447DC2" w14:textId="77777777" w:rsidR="00D97E9A" w:rsidRPr="001278B6" w:rsidRDefault="00D97E9A" w:rsidP="001278B6">
      <w:pPr>
        <w:widowControl/>
        <w:pBdr>
          <w:top w:val="single" w:sz="4" w:space="1" w:color="auto"/>
          <w:left w:val="single" w:sz="4" w:space="4" w:color="auto"/>
          <w:bottom w:val="single" w:sz="4" w:space="1" w:color="auto"/>
          <w:right w:val="single" w:sz="4" w:space="4" w:color="auto"/>
        </w:pBdr>
        <w:tabs>
          <w:tab w:val="left" w:pos="674"/>
        </w:tabs>
        <w:spacing w:before="20"/>
        <w:rPr>
          <w:b/>
          <w:lang w:val="da-DK"/>
        </w:rPr>
      </w:pPr>
      <w:r w:rsidRPr="001278B6">
        <w:rPr>
          <w:b/>
          <w:spacing w:val="-5"/>
          <w:lang w:val="da-DK"/>
        </w:rPr>
        <w:t>17</w:t>
      </w:r>
      <w:r w:rsidRPr="001278B6">
        <w:rPr>
          <w:b/>
          <w:lang w:val="da-DK"/>
        </w:rPr>
        <w:tab/>
        <w:t>ENTYDIG</w:t>
      </w:r>
      <w:r w:rsidRPr="001278B6">
        <w:rPr>
          <w:b/>
          <w:spacing w:val="-8"/>
          <w:lang w:val="da-DK"/>
        </w:rPr>
        <w:t xml:space="preserve"> </w:t>
      </w:r>
      <w:r w:rsidRPr="001278B6">
        <w:rPr>
          <w:b/>
          <w:lang w:val="da-DK"/>
        </w:rPr>
        <w:t>IDENTIFIKATOR</w:t>
      </w:r>
      <w:r w:rsidRPr="001278B6">
        <w:rPr>
          <w:b/>
          <w:spacing w:val="-6"/>
          <w:lang w:val="da-DK"/>
        </w:rPr>
        <w:t xml:space="preserve"> </w:t>
      </w:r>
      <w:r w:rsidRPr="001278B6">
        <w:rPr>
          <w:b/>
          <w:lang w:val="da-DK"/>
        </w:rPr>
        <w:t>–</w:t>
      </w:r>
      <w:r w:rsidRPr="001278B6">
        <w:rPr>
          <w:b/>
          <w:spacing w:val="-5"/>
          <w:lang w:val="da-DK"/>
        </w:rPr>
        <w:t xml:space="preserve"> </w:t>
      </w:r>
      <w:r w:rsidRPr="001278B6">
        <w:rPr>
          <w:b/>
          <w:lang w:val="da-DK"/>
        </w:rPr>
        <w:t>2D</w:t>
      </w:r>
      <w:r w:rsidR="004B3750">
        <w:rPr>
          <w:b/>
          <w:lang w:val="da-DK"/>
        </w:rPr>
        <w:noBreakHyphen/>
      </w:r>
      <w:r w:rsidRPr="001278B6">
        <w:rPr>
          <w:b/>
          <w:spacing w:val="-2"/>
          <w:lang w:val="da-DK"/>
        </w:rPr>
        <w:t>STREGKODE</w:t>
      </w:r>
    </w:p>
    <w:p w14:paraId="599951F1" w14:textId="77777777" w:rsidR="003563EF" w:rsidRPr="001278B6" w:rsidRDefault="003563EF" w:rsidP="001278B6">
      <w:pPr>
        <w:pStyle w:val="a3"/>
        <w:widowControl/>
        <w:adjustRightInd w:val="0"/>
        <w:snapToGrid w:val="0"/>
        <w:rPr>
          <w:snapToGrid w:val="0"/>
          <w:lang w:val="da-DK"/>
        </w:rPr>
      </w:pPr>
    </w:p>
    <w:p w14:paraId="69E97BEA" w14:textId="77777777" w:rsidR="003563EF" w:rsidRPr="001278B6" w:rsidRDefault="00473235" w:rsidP="001278B6">
      <w:pPr>
        <w:pStyle w:val="a3"/>
        <w:widowControl/>
        <w:adjustRightInd w:val="0"/>
        <w:snapToGrid w:val="0"/>
        <w:rPr>
          <w:snapToGrid w:val="0"/>
          <w:lang w:val="da-DK"/>
        </w:rPr>
      </w:pPr>
      <w:r w:rsidRPr="001278B6">
        <w:rPr>
          <w:snapToGrid w:val="0"/>
          <w:color w:val="000000"/>
          <w:shd w:val="clear" w:color="auto" w:fill="D4D4D4"/>
          <w:lang w:val="da-DK"/>
        </w:rPr>
        <w:t>Der er anført en 2D</w:t>
      </w:r>
      <w:r w:rsidR="004B3750">
        <w:rPr>
          <w:snapToGrid w:val="0"/>
          <w:color w:val="000000"/>
          <w:shd w:val="clear" w:color="auto" w:fill="D4D4D4"/>
          <w:lang w:val="da-DK"/>
        </w:rPr>
        <w:noBreakHyphen/>
      </w:r>
      <w:r w:rsidRPr="001278B6">
        <w:rPr>
          <w:snapToGrid w:val="0"/>
          <w:color w:val="000000"/>
          <w:shd w:val="clear" w:color="auto" w:fill="D4D4D4"/>
          <w:lang w:val="da-DK"/>
        </w:rPr>
        <w:t>stregkode, som indeholder en entydig identifikator.</w:t>
      </w:r>
    </w:p>
    <w:p w14:paraId="3D43B964" w14:textId="77777777" w:rsidR="003563EF" w:rsidRPr="001278B6" w:rsidRDefault="003563EF" w:rsidP="001278B6">
      <w:pPr>
        <w:pStyle w:val="a3"/>
        <w:widowControl/>
        <w:adjustRightInd w:val="0"/>
        <w:snapToGrid w:val="0"/>
        <w:rPr>
          <w:snapToGrid w:val="0"/>
          <w:lang w:val="da-DK"/>
        </w:rPr>
      </w:pPr>
    </w:p>
    <w:p w14:paraId="6A2C150E" w14:textId="77777777" w:rsidR="00D97E9A" w:rsidRPr="001278B6" w:rsidRDefault="00D97E9A" w:rsidP="001278B6">
      <w:pPr>
        <w:pStyle w:val="a3"/>
        <w:widowControl/>
        <w:adjustRightInd w:val="0"/>
        <w:snapToGrid w:val="0"/>
        <w:rPr>
          <w:snapToGrid w:val="0"/>
          <w:lang w:val="da-DK"/>
        </w:rPr>
      </w:pPr>
    </w:p>
    <w:p w14:paraId="3830B139" w14:textId="77777777" w:rsidR="003563EF" w:rsidRPr="001278B6" w:rsidRDefault="00D97E9A" w:rsidP="001278B6">
      <w:pPr>
        <w:widowControl/>
        <w:pBdr>
          <w:top w:val="single" w:sz="4" w:space="1" w:color="auto"/>
          <w:left w:val="single" w:sz="4" w:space="4" w:color="auto"/>
          <w:bottom w:val="single" w:sz="4" w:space="1" w:color="auto"/>
          <w:right w:val="single" w:sz="4" w:space="4" w:color="auto"/>
        </w:pBdr>
        <w:tabs>
          <w:tab w:val="left" w:pos="674"/>
        </w:tabs>
        <w:spacing w:before="20"/>
        <w:rPr>
          <w:b/>
          <w:lang w:val="da-DK"/>
        </w:rPr>
      </w:pPr>
      <w:r w:rsidRPr="001278B6">
        <w:rPr>
          <w:b/>
          <w:spacing w:val="-5"/>
          <w:lang w:val="da-DK"/>
        </w:rPr>
        <w:t>18.</w:t>
      </w:r>
      <w:r w:rsidRPr="001278B6">
        <w:rPr>
          <w:b/>
          <w:lang w:val="da-DK"/>
        </w:rPr>
        <w:tab/>
        <w:t>ENTYDIG</w:t>
      </w:r>
      <w:r w:rsidRPr="001278B6">
        <w:rPr>
          <w:b/>
          <w:spacing w:val="-9"/>
          <w:lang w:val="da-DK"/>
        </w:rPr>
        <w:t xml:space="preserve"> </w:t>
      </w:r>
      <w:r w:rsidRPr="001278B6">
        <w:rPr>
          <w:b/>
          <w:lang w:val="da-DK"/>
        </w:rPr>
        <w:t>IDENTIFIKATOR</w:t>
      </w:r>
      <w:r w:rsidRPr="001278B6">
        <w:rPr>
          <w:b/>
          <w:spacing w:val="-7"/>
          <w:lang w:val="da-DK"/>
        </w:rPr>
        <w:t xml:space="preserve"> </w:t>
      </w:r>
      <w:r w:rsidR="004B3750">
        <w:rPr>
          <w:b/>
          <w:lang w:val="da-DK"/>
        </w:rPr>
        <w:noBreakHyphen/>
      </w:r>
      <w:r w:rsidRPr="001278B6">
        <w:rPr>
          <w:b/>
          <w:spacing w:val="-6"/>
          <w:lang w:val="da-DK"/>
        </w:rPr>
        <w:t xml:space="preserve"> </w:t>
      </w:r>
      <w:r w:rsidRPr="001278B6">
        <w:rPr>
          <w:b/>
          <w:lang w:val="da-DK"/>
        </w:rPr>
        <w:t>MENNESKELIGT</w:t>
      </w:r>
      <w:r w:rsidRPr="001278B6">
        <w:rPr>
          <w:b/>
          <w:spacing w:val="-7"/>
          <w:lang w:val="da-DK"/>
        </w:rPr>
        <w:t xml:space="preserve"> </w:t>
      </w:r>
      <w:r w:rsidRPr="001278B6">
        <w:rPr>
          <w:b/>
          <w:lang w:val="da-DK"/>
        </w:rPr>
        <w:t>LÆSBARE</w:t>
      </w:r>
      <w:r w:rsidRPr="001278B6">
        <w:rPr>
          <w:b/>
          <w:spacing w:val="-7"/>
          <w:lang w:val="da-DK"/>
        </w:rPr>
        <w:t xml:space="preserve"> </w:t>
      </w:r>
      <w:r w:rsidRPr="001278B6">
        <w:rPr>
          <w:b/>
          <w:spacing w:val="-4"/>
          <w:lang w:val="da-DK"/>
        </w:rPr>
        <w:t>DATA</w:t>
      </w:r>
    </w:p>
    <w:p w14:paraId="3F0BAA34" w14:textId="77777777" w:rsidR="003563EF" w:rsidRPr="001278B6" w:rsidRDefault="003563EF" w:rsidP="001278B6">
      <w:pPr>
        <w:pStyle w:val="a3"/>
        <w:widowControl/>
        <w:adjustRightInd w:val="0"/>
        <w:snapToGrid w:val="0"/>
        <w:rPr>
          <w:snapToGrid w:val="0"/>
          <w:lang w:val="da-DK"/>
        </w:rPr>
      </w:pPr>
    </w:p>
    <w:p w14:paraId="3D8D6635" w14:textId="77777777" w:rsidR="00CC411E" w:rsidRDefault="00473235" w:rsidP="006D0605">
      <w:pPr>
        <w:pStyle w:val="a3"/>
        <w:widowControl/>
        <w:adjustRightInd w:val="0"/>
        <w:snapToGrid w:val="0"/>
        <w:jc w:val="both"/>
        <w:rPr>
          <w:snapToGrid w:val="0"/>
          <w:lang w:val="da-DK"/>
        </w:rPr>
      </w:pPr>
      <w:r w:rsidRPr="001278B6">
        <w:rPr>
          <w:snapToGrid w:val="0"/>
          <w:lang w:val="da-DK"/>
        </w:rPr>
        <w:t>PC</w:t>
      </w:r>
    </w:p>
    <w:p w14:paraId="7496C682" w14:textId="77777777" w:rsidR="00CC411E" w:rsidRDefault="00473235" w:rsidP="006D0605">
      <w:pPr>
        <w:pStyle w:val="a3"/>
        <w:widowControl/>
        <w:adjustRightInd w:val="0"/>
        <w:snapToGrid w:val="0"/>
        <w:jc w:val="both"/>
        <w:rPr>
          <w:snapToGrid w:val="0"/>
          <w:lang w:val="da-DK"/>
        </w:rPr>
      </w:pPr>
      <w:r w:rsidRPr="001278B6">
        <w:rPr>
          <w:snapToGrid w:val="0"/>
          <w:lang w:val="da-DK"/>
        </w:rPr>
        <w:t>SN</w:t>
      </w:r>
    </w:p>
    <w:p w14:paraId="574A5F76" w14:textId="77777777" w:rsidR="003563EF" w:rsidRPr="001278B6" w:rsidRDefault="00473235" w:rsidP="001278B6">
      <w:pPr>
        <w:pStyle w:val="a3"/>
        <w:widowControl/>
        <w:adjustRightInd w:val="0"/>
        <w:snapToGrid w:val="0"/>
        <w:jc w:val="both"/>
        <w:rPr>
          <w:snapToGrid w:val="0"/>
          <w:lang w:val="da-DK"/>
        </w:rPr>
      </w:pPr>
      <w:r w:rsidRPr="001278B6">
        <w:rPr>
          <w:snapToGrid w:val="0"/>
          <w:lang w:val="da-DK"/>
        </w:rPr>
        <w:t>NN</w:t>
      </w:r>
    </w:p>
    <w:p w14:paraId="5B3D23FB" w14:textId="77777777" w:rsidR="006E75AF" w:rsidRPr="001278B6" w:rsidRDefault="00B82C85" w:rsidP="001278B6">
      <w:pPr>
        <w:widowControl/>
        <w:pBdr>
          <w:top w:val="single" w:sz="4" w:space="1" w:color="auto"/>
          <w:left w:val="single" w:sz="4" w:space="4" w:color="auto"/>
          <w:bottom w:val="single" w:sz="4" w:space="1" w:color="auto"/>
          <w:right w:val="single" w:sz="4" w:space="4" w:color="auto"/>
        </w:pBdr>
        <w:spacing w:before="1"/>
        <w:rPr>
          <w:b/>
          <w:lang w:val="da-DK"/>
        </w:rPr>
      </w:pPr>
      <w:r w:rsidRPr="001278B6">
        <w:rPr>
          <w:snapToGrid w:val="0"/>
          <w:lang w:val="da-DK"/>
        </w:rPr>
        <w:br w:type="page"/>
      </w:r>
      <w:r w:rsidR="006E75AF" w:rsidRPr="001278B6">
        <w:rPr>
          <w:b/>
          <w:lang w:val="da-DK"/>
        </w:rPr>
        <w:lastRenderedPageBreak/>
        <w:t>MINDSTEKRAV</w:t>
      </w:r>
      <w:r w:rsidR="006E75AF" w:rsidRPr="001278B6">
        <w:rPr>
          <w:b/>
          <w:spacing w:val="-8"/>
          <w:lang w:val="da-DK"/>
        </w:rPr>
        <w:t xml:space="preserve"> </w:t>
      </w:r>
      <w:r w:rsidR="006E75AF" w:rsidRPr="001278B6">
        <w:rPr>
          <w:b/>
          <w:lang w:val="da-DK"/>
        </w:rPr>
        <w:t>TIL</w:t>
      </w:r>
      <w:r w:rsidR="006E75AF" w:rsidRPr="001278B6">
        <w:rPr>
          <w:b/>
          <w:spacing w:val="-6"/>
          <w:lang w:val="da-DK"/>
        </w:rPr>
        <w:t xml:space="preserve"> </w:t>
      </w:r>
      <w:r w:rsidR="006E75AF" w:rsidRPr="001278B6">
        <w:rPr>
          <w:b/>
          <w:lang w:val="da-DK"/>
        </w:rPr>
        <w:t>MÆRKNING</w:t>
      </w:r>
      <w:r w:rsidR="006E75AF" w:rsidRPr="001278B6">
        <w:rPr>
          <w:b/>
          <w:spacing w:val="-8"/>
          <w:lang w:val="da-DK"/>
        </w:rPr>
        <w:t xml:space="preserve"> </w:t>
      </w:r>
      <w:r w:rsidR="006E75AF" w:rsidRPr="001278B6">
        <w:rPr>
          <w:b/>
          <w:lang w:val="da-DK"/>
        </w:rPr>
        <w:t>PÅ</w:t>
      </w:r>
      <w:r w:rsidR="006E75AF" w:rsidRPr="001278B6">
        <w:rPr>
          <w:b/>
          <w:spacing w:val="-5"/>
          <w:lang w:val="da-DK"/>
        </w:rPr>
        <w:t xml:space="preserve"> </w:t>
      </w:r>
      <w:r w:rsidR="006E75AF" w:rsidRPr="001278B6">
        <w:rPr>
          <w:b/>
          <w:lang w:val="da-DK"/>
        </w:rPr>
        <w:t>SMÅ</w:t>
      </w:r>
      <w:r w:rsidR="006E75AF" w:rsidRPr="001278B6">
        <w:rPr>
          <w:b/>
          <w:spacing w:val="-6"/>
          <w:lang w:val="da-DK"/>
        </w:rPr>
        <w:t xml:space="preserve"> </w:t>
      </w:r>
      <w:r w:rsidR="006E75AF" w:rsidRPr="001278B6">
        <w:rPr>
          <w:b/>
          <w:lang w:val="da-DK"/>
        </w:rPr>
        <w:t>INDRE</w:t>
      </w:r>
      <w:r w:rsidR="006E75AF" w:rsidRPr="001278B6">
        <w:rPr>
          <w:b/>
          <w:spacing w:val="-5"/>
          <w:lang w:val="da-DK"/>
        </w:rPr>
        <w:t xml:space="preserve"> </w:t>
      </w:r>
      <w:r w:rsidR="006E75AF" w:rsidRPr="001278B6">
        <w:rPr>
          <w:b/>
          <w:spacing w:val="-2"/>
          <w:lang w:val="da-DK"/>
        </w:rPr>
        <w:t>EMBALLAGER</w:t>
      </w:r>
    </w:p>
    <w:p w14:paraId="539A4686" w14:textId="77777777" w:rsidR="006E75AF" w:rsidRPr="001278B6" w:rsidRDefault="006E75AF" w:rsidP="001278B6">
      <w:pPr>
        <w:pStyle w:val="a3"/>
        <w:widowControl/>
        <w:pBdr>
          <w:top w:val="single" w:sz="4" w:space="1" w:color="auto"/>
          <w:left w:val="single" w:sz="4" w:space="4" w:color="auto"/>
          <w:bottom w:val="single" w:sz="4" w:space="1" w:color="auto"/>
          <w:right w:val="single" w:sz="4" w:space="4" w:color="auto"/>
        </w:pBdr>
        <w:spacing w:before="9"/>
        <w:rPr>
          <w:b/>
          <w:sz w:val="21"/>
          <w:lang w:val="da-DK"/>
        </w:rPr>
      </w:pPr>
    </w:p>
    <w:p w14:paraId="6090638F"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rPr>
          <w:b/>
          <w:lang w:val="da-DK"/>
        </w:rPr>
      </w:pPr>
      <w:r w:rsidRPr="001278B6">
        <w:rPr>
          <w:b/>
          <w:spacing w:val="-2"/>
          <w:lang w:val="da-DK"/>
        </w:rPr>
        <w:t>HÆTTEGLAS</w:t>
      </w:r>
    </w:p>
    <w:p w14:paraId="1E485FD6" w14:textId="77777777" w:rsidR="003563EF" w:rsidRPr="001278B6" w:rsidRDefault="003563EF" w:rsidP="001278B6">
      <w:pPr>
        <w:pStyle w:val="a3"/>
        <w:widowControl/>
        <w:adjustRightInd w:val="0"/>
        <w:snapToGrid w:val="0"/>
        <w:rPr>
          <w:snapToGrid w:val="0"/>
          <w:lang w:val="da-DK"/>
        </w:rPr>
      </w:pPr>
    </w:p>
    <w:p w14:paraId="59914405" w14:textId="77777777" w:rsidR="003563EF" w:rsidRPr="001278B6" w:rsidRDefault="003563EF" w:rsidP="001278B6">
      <w:pPr>
        <w:pStyle w:val="a3"/>
        <w:widowControl/>
        <w:adjustRightInd w:val="0"/>
        <w:snapToGrid w:val="0"/>
        <w:rPr>
          <w:snapToGrid w:val="0"/>
          <w:lang w:val="da-DK"/>
        </w:rPr>
      </w:pPr>
    </w:p>
    <w:p w14:paraId="34EB6542"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1.</w:t>
      </w:r>
      <w:r w:rsidRPr="001278B6">
        <w:rPr>
          <w:b/>
          <w:lang w:val="da-DK"/>
        </w:rPr>
        <w:tab/>
        <w:t>LÆGEMIDLETS</w:t>
      </w:r>
      <w:r w:rsidRPr="001278B6">
        <w:rPr>
          <w:b/>
          <w:spacing w:val="-8"/>
          <w:lang w:val="da-DK"/>
        </w:rPr>
        <w:t xml:space="preserve"> </w:t>
      </w:r>
      <w:r w:rsidRPr="001278B6">
        <w:rPr>
          <w:b/>
          <w:lang w:val="da-DK"/>
        </w:rPr>
        <w:t>NAVN</w:t>
      </w:r>
      <w:r w:rsidRPr="001278B6">
        <w:rPr>
          <w:b/>
          <w:spacing w:val="-4"/>
          <w:lang w:val="da-DK"/>
        </w:rPr>
        <w:t xml:space="preserve"> </w:t>
      </w:r>
      <w:r w:rsidRPr="001278B6">
        <w:rPr>
          <w:b/>
          <w:lang w:val="da-DK"/>
        </w:rPr>
        <w:t>OG</w:t>
      </w:r>
      <w:r w:rsidRPr="001278B6">
        <w:rPr>
          <w:b/>
          <w:spacing w:val="-6"/>
          <w:lang w:val="da-DK"/>
        </w:rPr>
        <w:t xml:space="preserve"> </w:t>
      </w:r>
      <w:r w:rsidRPr="001278B6">
        <w:rPr>
          <w:b/>
          <w:spacing w:val="-2"/>
          <w:lang w:val="da-DK"/>
        </w:rPr>
        <w:t>ADMINISTRATIONSVEJ(E)</w:t>
      </w:r>
    </w:p>
    <w:p w14:paraId="45986EF7" w14:textId="77777777" w:rsidR="003563EF" w:rsidRPr="001278B6" w:rsidRDefault="003563EF" w:rsidP="001278B6">
      <w:pPr>
        <w:pStyle w:val="a3"/>
        <w:widowControl/>
        <w:adjustRightInd w:val="0"/>
        <w:snapToGrid w:val="0"/>
        <w:rPr>
          <w:snapToGrid w:val="0"/>
          <w:lang w:val="da-DK"/>
        </w:rPr>
      </w:pPr>
    </w:p>
    <w:p w14:paraId="03E5D958" w14:textId="12FC4D0D" w:rsidR="00034593" w:rsidRDefault="00295FBB">
      <w:pPr>
        <w:pStyle w:val="a3"/>
        <w:widowControl/>
        <w:adjustRightInd w:val="0"/>
        <w:snapToGrid w:val="0"/>
        <w:rPr>
          <w:snapToGrid w:val="0"/>
          <w:lang w:val="da-DK"/>
        </w:rPr>
      </w:pPr>
      <w:r>
        <w:rPr>
          <w:snapToGrid w:val="0"/>
          <w:lang w:val="da-DK"/>
        </w:rPr>
        <w:t>Vegzelma</w:t>
      </w:r>
      <w:r w:rsidR="00452BDF">
        <w:rPr>
          <w:rFonts w:eastAsia="맑은 고딕" w:hint="eastAsia"/>
          <w:snapToGrid w:val="0"/>
          <w:lang w:val="da-DK" w:eastAsia="ko-KR"/>
        </w:rPr>
        <w:t xml:space="preserve"> </w:t>
      </w:r>
      <w:r w:rsidR="00473235" w:rsidRPr="001278B6">
        <w:rPr>
          <w:snapToGrid w:val="0"/>
          <w:lang w:val="da-DK"/>
        </w:rPr>
        <w:t>25</w:t>
      </w:r>
      <w:r w:rsidR="006251E8">
        <w:rPr>
          <w:snapToGrid w:val="0"/>
          <w:lang w:val="da-DK"/>
        </w:rPr>
        <w:t> mg</w:t>
      </w:r>
      <w:r w:rsidR="00473235" w:rsidRPr="001278B6">
        <w:rPr>
          <w:snapToGrid w:val="0"/>
          <w:lang w:val="da-DK"/>
        </w:rPr>
        <w:t>/ml</w:t>
      </w:r>
      <w:r w:rsidR="00C01725">
        <w:rPr>
          <w:snapToGrid w:val="0"/>
          <w:lang w:val="da-DK"/>
        </w:rPr>
        <w:t xml:space="preserve"> </w:t>
      </w:r>
      <w:r w:rsidR="001D1422">
        <w:rPr>
          <w:snapToGrid w:val="0"/>
          <w:lang w:val="da-DK"/>
        </w:rPr>
        <w:t>S</w:t>
      </w:r>
      <w:r w:rsidR="00C01725">
        <w:rPr>
          <w:snapToGrid w:val="0"/>
          <w:lang w:val="da-DK"/>
        </w:rPr>
        <w:t>teril</w:t>
      </w:r>
      <w:r w:rsidR="00473235" w:rsidRPr="001278B6">
        <w:rPr>
          <w:snapToGrid w:val="0"/>
          <w:lang w:val="da-DK"/>
        </w:rPr>
        <w:t xml:space="preserve"> koncentrat</w:t>
      </w:r>
    </w:p>
    <w:p w14:paraId="23CFAFC1" w14:textId="77777777" w:rsidR="003563EF" w:rsidRPr="001278B6" w:rsidRDefault="00473235" w:rsidP="001278B6">
      <w:pPr>
        <w:pStyle w:val="a3"/>
        <w:widowControl/>
        <w:adjustRightInd w:val="0"/>
        <w:snapToGrid w:val="0"/>
        <w:rPr>
          <w:snapToGrid w:val="0"/>
          <w:lang w:val="da-DK"/>
        </w:rPr>
      </w:pPr>
      <w:r w:rsidRPr="001278B6">
        <w:rPr>
          <w:snapToGrid w:val="0"/>
          <w:lang w:val="da-DK"/>
        </w:rPr>
        <w:t>bevacizumab</w:t>
      </w:r>
    </w:p>
    <w:p w14:paraId="71964E16" w14:textId="77777777" w:rsidR="003563EF" w:rsidRPr="001278B6" w:rsidRDefault="00473235" w:rsidP="001278B6">
      <w:pPr>
        <w:pStyle w:val="a3"/>
        <w:widowControl/>
        <w:adjustRightInd w:val="0"/>
        <w:snapToGrid w:val="0"/>
        <w:rPr>
          <w:snapToGrid w:val="0"/>
          <w:lang w:val="da-DK"/>
        </w:rPr>
      </w:pPr>
      <w:r w:rsidRPr="001278B6">
        <w:rPr>
          <w:snapToGrid w:val="0"/>
          <w:lang w:val="da-DK"/>
        </w:rPr>
        <w:t>i.v.</w:t>
      </w:r>
    </w:p>
    <w:p w14:paraId="2E3E8D11" w14:textId="77777777" w:rsidR="003563EF" w:rsidRPr="001278B6" w:rsidRDefault="003563EF" w:rsidP="001278B6">
      <w:pPr>
        <w:pStyle w:val="a3"/>
        <w:widowControl/>
        <w:adjustRightInd w:val="0"/>
        <w:snapToGrid w:val="0"/>
        <w:rPr>
          <w:snapToGrid w:val="0"/>
          <w:lang w:val="da-DK"/>
        </w:rPr>
      </w:pPr>
    </w:p>
    <w:p w14:paraId="30B68E62" w14:textId="77777777" w:rsidR="006E75AF" w:rsidRPr="001278B6" w:rsidRDefault="006E75AF" w:rsidP="001278B6">
      <w:pPr>
        <w:pStyle w:val="a3"/>
        <w:widowControl/>
        <w:adjustRightInd w:val="0"/>
        <w:snapToGrid w:val="0"/>
        <w:rPr>
          <w:snapToGrid w:val="0"/>
          <w:lang w:val="da-DK"/>
        </w:rPr>
      </w:pPr>
    </w:p>
    <w:p w14:paraId="66810AD5"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2.</w:t>
      </w:r>
      <w:r w:rsidRPr="001278B6">
        <w:rPr>
          <w:b/>
          <w:lang w:val="da-DK"/>
        </w:rPr>
        <w:tab/>
      </w:r>
      <w:r w:rsidRPr="001278B6">
        <w:rPr>
          <w:b/>
          <w:spacing w:val="-2"/>
          <w:lang w:val="da-DK"/>
        </w:rPr>
        <w:t>ADMINISTRATIONSMETODE</w:t>
      </w:r>
    </w:p>
    <w:p w14:paraId="7F898749" w14:textId="77777777" w:rsidR="003563EF" w:rsidRPr="001278B6" w:rsidRDefault="003563EF" w:rsidP="001278B6">
      <w:pPr>
        <w:pStyle w:val="a3"/>
        <w:widowControl/>
        <w:adjustRightInd w:val="0"/>
        <w:snapToGrid w:val="0"/>
        <w:rPr>
          <w:snapToGrid w:val="0"/>
          <w:lang w:val="da-DK"/>
        </w:rPr>
      </w:pPr>
    </w:p>
    <w:p w14:paraId="5A17E9AA" w14:textId="3B18ADA5" w:rsidR="003563EF" w:rsidRPr="001278B6" w:rsidRDefault="00473235" w:rsidP="001278B6">
      <w:pPr>
        <w:pStyle w:val="a3"/>
        <w:widowControl/>
        <w:adjustRightInd w:val="0"/>
        <w:snapToGrid w:val="0"/>
        <w:rPr>
          <w:snapToGrid w:val="0"/>
          <w:lang w:val="da-DK"/>
        </w:rPr>
      </w:pPr>
      <w:r w:rsidRPr="001278B6">
        <w:rPr>
          <w:snapToGrid w:val="0"/>
          <w:lang w:val="da-DK"/>
        </w:rPr>
        <w:t xml:space="preserve">Til </w:t>
      </w:r>
      <w:r w:rsidR="001D1422" w:rsidRPr="001D1422">
        <w:rPr>
          <w:snapToGrid w:val="0"/>
          <w:lang w:val="da-DK"/>
        </w:rPr>
        <w:t>IV-brug</w:t>
      </w:r>
      <w:r w:rsidR="001D1422">
        <w:rPr>
          <w:snapToGrid w:val="0"/>
          <w:lang w:val="da-DK"/>
        </w:rPr>
        <w:t xml:space="preserve"> </w:t>
      </w:r>
      <w:r w:rsidRPr="001278B6">
        <w:rPr>
          <w:snapToGrid w:val="0"/>
          <w:lang w:val="da-DK"/>
        </w:rPr>
        <w:t>efter fortynding</w:t>
      </w:r>
    </w:p>
    <w:p w14:paraId="626BF932" w14:textId="77777777" w:rsidR="003563EF" w:rsidRPr="001278B6" w:rsidRDefault="003563EF" w:rsidP="001278B6">
      <w:pPr>
        <w:pStyle w:val="a3"/>
        <w:widowControl/>
        <w:adjustRightInd w:val="0"/>
        <w:snapToGrid w:val="0"/>
        <w:rPr>
          <w:snapToGrid w:val="0"/>
          <w:lang w:val="da-DK"/>
        </w:rPr>
      </w:pPr>
    </w:p>
    <w:p w14:paraId="6343D638" w14:textId="77777777" w:rsidR="006E75AF" w:rsidRPr="001278B6" w:rsidRDefault="006E75AF" w:rsidP="001278B6">
      <w:pPr>
        <w:pStyle w:val="a3"/>
        <w:widowControl/>
        <w:adjustRightInd w:val="0"/>
        <w:snapToGrid w:val="0"/>
        <w:rPr>
          <w:snapToGrid w:val="0"/>
          <w:lang w:val="da-DK"/>
        </w:rPr>
      </w:pPr>
    </w:p>
    <w:p w14:paraId="3C7E0121"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tabs>
          <w:tab w:val="left" w:pos="669"/>
        </w:tabs>
        <w:spacing w:before="1"/>
        <w:rPr>
          <w:b/>
          <w:lang w:val="da-DK"/>
        </w:rPr>
      </w:pPr>
      <w:r w:rsidRPr="001278B6">
        <w:rPr>
          <w:b/>
          <w:spacing w:val="-5"/>
          <w:lang w:val="da-DK"/>
        </w:rPr>
        <w:t>3.</w:t>
      </w:r>
      <w:r w:rsidRPr="001278B6">
        <w:rPr>
          <w:b/>
          <w:lang w:val="da-DK"/>
        </w:rPr>
        <w:tab/>
      </w:r>
      <w:r w:rsidRPr="001278B6">
        <w:rPr>
          <w:b/>
          <w:spacing w:val="-2"/>
          <w:lang w:val="da-DK"/>
        </w:rPr>
        <w:t>UDLØBSDATO</w:t>
      </w:r>
    </w:p>
    <w:p w14:paraId="48FE2036" w14:textId="77777777" w:rsidR="003563EF" w:rsidRPr="001278B6" w:rsidRDefault="003563EF" w:rsidP="001278B6">
      <w:pPr>
        <w:pStyle w:val="a3"/>
        <w:widowControl/>
        <w:adjustRightInd w:val="0"/>
        <w:snapToGrid w:val="0"/>
        <w:rPr>
          <w:snapToGrid w:val="0"/>
          <w:lang w:val="da-DK"/>
        </w:rPr>
      </w:pPr>
    </w:p>
    <w:p w14:paraId="58268D8F" w14:textId="77777777" w:rsidR="003563EF" w:rsidRPr="001278B6" w:rsidRDefault="00473235" w:rsidP="001278B6">
      <w:pPr>
        <w:pStyle w:val="a3"/>
        <w:widowControl/>
        <w:adjustRightInd w:val="0"/>
        <w:snapToGrid w:val="0"/>
        <w:rPr>
          <w:snapToGrid w:val="0"/>
          <w:lang w:val="da-DK"/>
        </w:rPr>
      </w:pPr>
      <w:r w:rsidRPr="001278B6">
        <w:rPr>
          <w:snapToGrid w:val="0"/>
          <w:lang w:val="da-DK"/>
        </w:rPr>
        <w:t>EXP</w:t>
      </w:r>
    </w:p>
    <w:p w14:paraId="5A118DE6" w14:textId="77777777" w:rsidR="003563EF" w:rsidRPr="001278B6" w:rsidRDefault="003563EF" w:rsidP="001278B6">
      <w:pPr>
        <w:pStyle w:val="a3"/>
        <w:widowControl/>
        <w:adjustRightInd w:val="0"/>
        <w:snapToGrid w:val="0"/>
        <w:rPr>
          <w:snapToGrid w:val="0"/>
          <w:lang w:val="da-DK"/>
        </w:rPr>
      </w:pPr>
    </w:p>
    <w:p w14:paraId="6E7DA06C" w14:textId="77777777" w:rsidR="006E75AF" w:rsidRPr="001278B6" w:rsidRDefault="006E75AF" w:rsidP="001278B6">
      <w:pPr>
        <w:pStyle w:val="a3"/>
        <w:widowControl/>
        <w:adjustRightInd w:val="0"/>
        <w:snapToGrid w:val="0"/>
        <w:rPr>
          <w:snapToGrid w:val="0"/>
          <w:lang w:val="da-DK"/>
        </w:rPr>
      </w:pPr>
    </w:p>
    <w:p w14:paraId="64803057"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4.</w:t>
      </w:r>
      <w:r w:rsidRPr="001278B6">
        <w:rPr>
          <w:b/>
          <w:lang w:val="da-DK"/>
        </w:rPr>
        <w:tab/>
      </w:r>
      <w:r w:rsidRPr="001278B6">
        <w:rPr>
          <w:b/>
          <w:spacing w:val="-2"/>
          <w:lang w:val="da-DK"/>
        </w:rPr>
        <w:t>BATCHNUMMER</w:t>
      </w:r>
    </w:p>
    <w:p w14:paraId="24CB6308" w14:textId="77777777" w:rsidR="003563EF" w:rsidRPr="001278B6" w:rsidRDefault="003563EF" w:rsidP="001278B6">
      <w:pPr>
        <w:pStyle w:val="a3"/>
        <w:widowControl/>
        <w:adjustRightInd w:val="0"/>
        <w:snapToGrid w:val="0"/>
        <w:rPr>
          <w:snapToGrid w:val="0"/>
          <w:lang w:val="da-DK"/>
        </w:rPr>
      </w:pPr>
    </w:p>
    <w:p w14:paraId="29A2F330" w14:textId="77777777" w:rsidR="003563EF" w:rsidRPr="001278B6" w:rsidRDefault="00473235" w:rsidP="001278B6">
      <w:pPr>
        <w:pStyle w:val="a3"/>
        <w:widowControl/>
        <w:adjustRightInd w:val="0"/>
        <w:snapToGrid w:val="0"/>
        <w:rPr>
          <w:snapToGrid w:val="0"/>
          <w:lang w:val="da-DK"/>
        </w:rPr>
      </w:pPr>
      <w:r w:rsidRPr="001278B6">
        <w:rPr>
          <w:snapToGrid w:val="0"/>
          <w:lang w:val="da-DK"/>
        </w:rPr>
        <w:t>Lot</w:t>
      </w:r>
    </w:p>
    <w:p w14:paraId="6B5844A3" w14:textId="77777777" w:rsidR="003563EF" w:rsidRPr="001278B6" w:rsidRDefault="003563EF" w:rsidP="001278B6">
      <w:pPr>
        <w:pStyle w:val="a3"/>
        <w:widowControl/>
        <w:adjustRightInd w:val="0"/>
        <w:snapToGrid w:val="0"/>
        <w:rPr>
          <w:snapToGrid w:val="0"/>
          <w:lang w:val="da-DK"/>
        </w:rPr>
      </w:pPr>
    </w:p>
    <w:p w14:paraId="344E1701" w14:textId="77777777" w:rsidR="006E75AF" w:rsidRPr="001278B6" w:rsidRDefault="006E75AF" w:rsidP="001278B6">
      <w:pPr>
        <w:pStyle w:val="a3"/>
        <w:widowControl/>
        <w:adjustRightInd w:val="0"/>
        <w:snapToGrid w:val="0"/>
        <w:rPr>
          <w:snapToGrid w:val="0"/>
          <w:lang w:val="da-DK"/>
        </w:rPr>
      </w:pPr>
    </w:p>
    <w:p w14:paraId="32D54985" w14:textId="77777777" w:rsidR="006E75AF" w:rsidRPr="001278B6" w:rsidRDefault="006E75AF"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5.</w:t>
      </w:r>
      <w:r w:rsidRPr="001278B6">
        <w:rPr>
          <w:b/>
          <w:lang w:val="da-DK"/>
        </w:rPr>
        <w:tab/>
        <w:t>INDHOLD</w:t>
      </w:r>
      <w:r w:rsidRPr="001278B6">
        <w:rPr>
          <w:b/>
          <w:spacing w:val="-8"/>
          <w:lang w:val="da-DK"/>
        </w:rPr>
        <w:t xml:space="preserve"> </w:t>
      </w:r>
      <w:r w:rsidRPr="001278B6">
        <w:rPr>
          <w:b/>
          <w:lang w:val="da-DK"/>
        </w:rPr>
        <w:t>ANGIVET</w:t>
      </w:r>
      <w:r w:rsidRPr="001278B6">
        <w:rPr>
          <w:b/>
          <w:spacing w:val="-6"/>
          <w:lang w:val="da-DK"/>
        </w:rPr>
        <w:t xml:space="preserve"> </w:t>
      </w:r>
      <w:r w:rsidRPr="001278B6">
        <w:rPr>
          <w:b/>
          <w:lang w:val="da-DK"/>
        </w:rPr>
        <w:t>SOM</w:t>
      </w:r>
      <w:r w:rsidRPr="001278B6">
        <w:rPr>
          <w:b/>
          <w:spacing w:val="-4"/>
          <w:lang w:val="da-DK"/>
        </w:rPr>
        <w:t xml:space="preserve"> </w:t>
      </w:r>
      <w:r w:rsidRPr="001278B6">
        <w:rPr>
          <w:b/>
          <w:lang w:val="da-DK"/>
        </w:rPr>
        <w:t>VÆGT,</w:t>
      </w:r>
      <w:r w:rsidRPr="001278B6">
        <w:rPr>
          <w:b/>
          <w:spacing w:val="-5"/>
          <w:lang w:val="da-DK"/>
        </w:rPr>
        <w:t xml:space="preserve"> </w:t>
      </w:r>
      <w:r w:rsidRPr="001278B6">
        <w:rPr>
          <w:b/>
          <w:lang w:val="da-DK"/>
        </w:rPr>
        <w:t>VOLUMEN</w:t>
      </w:r>
      <w:r w:rsidRPr="001278B6">
        <w:rPr>
          <w:b/>
          <w:spacing w:val="-6"/>
          <w:lang w:val="da-DK"/>
        </w:rPr>
        <w:t xml:space="preserve"> </w:t>
      </w:r>
      <w:r w:rsidRPr="001278B6">
        <w:rPr>
          <w:b/>
          <w:lang w:val="da-DK"/>
        </w:rPr>
        <w:t>ELLER</w:t>
      </w:r>
      <w:r w:rsidRPr="001278B6">
        <w:rPr>
          <w:b/>
          <w:spacing w:val="-4"/>
          <w:lang w:val="da-DK"/>
        </w:rPr>
        <w:t xml:space="preserve"> </w:t>
      </w:r>
      <w:r w:rsidRPr="001278B6">
        <w:rPr>
          <w:b/>
          <w:spacing w:val="-2"/>
          <w:lang w:val="da-DK"/>
        </w:rPr>
        <w:t>ENHEDER</w:t>
      </w:r>
    </w:p>
    <w:p w14:paraId="3B724A15" w14:textId="77777777" w:rsidR="003563EF" w:rsidRPr="001278B6" w:rsidRDefault="003563EF" w:rsidP="001278B6">
      <w:pPr>
        <w:pStyle w:val="a3"/>
        <w:widowControl/>
        <w:adjustRightInd w:val="0"/>
        <w:snapToGrid w:val="0"/>
        <w:rPr>
          <w:snapToGrid w:val="0"/>
          <w:lang w:val="da-DK"/>
        </w:rPr>
      </w:pPr>
    </w:p>
    <w:p w14:paraId="2A90EE82" w14:textId="77777777" w:rsidR="003563EF" w:rsidRPr="001278B6" w:rsidRDefault="00473235" w:rsidP="001278B6">
      <w:pPr>
        <w:pStyle w:val="a3"/>
        <w:widowControl/>
        <w:adjustRightInd w:val="0"/>
        <w:snapToGrid w:val="0"/>
        <w:rPr>
          <w:snapToGrid w:val="0"/>
          <w:lang w:val="da-DK"/>
        </w:rPr>
      </w:pPr>
      <w:r w:rsidRPr="001278B6">
        <w:rPr>
          <w:snapToGrid w:val="0"/>
          <w:lang w:val="da-DK"/>
        </w:rPr>
        <w:t>400</w:t>
      </w:r>
      <w:r w:rsidR="006251E8">
        <w:rPr>
          <w:snapToGrid w:val="0"/>
          <w:lang w:val="da-DK"/>
        </w:rPr>
        <w:t> mg</w:t>
      </w:r>
      <w:r w:rsidRPr="001278B6">
        <w:rPr>
          <w:snapToGrid w:val="0"/>
          <w:lang w:val="da-DK"/>
        </w:rPr>
        <w:t>/16</w:t>
      </w:r>
      <w:r w:rsidR="006251E8">
        <w:rPr>
          <w:snapToGrid w:val="0"/>
          <w:lang w:val="da-DK"/>
        </w:rPr>
        <w:t> ml</w:t>
      </w:r>
    </w:p>
    <w:p w14:paraId="151AB3C4" w14:textId="77777777" w:rsidR="003563EF" w:rsidRPr="001278B6" w:rsidRDefault="003563EF" w:rsidP="001278B6">
      <w:pPr>
        <w:pStyle w:val="a3"/>
        <w:widowControl/>
        <w:adjustRightInd w:val="0"/>
        <w:snapToGrid w:val="0"/>
        <w:rPr>
          <w:snapToGrid w:val="0"/>
          <w:lang w:val="da-DK"/>
        </w:rPr>
      </w:pPr>
    </w:p>
    <w:p w14:paraId="3C6F2512" w14:textId="77777777" w:rsidR="00EC63C1" w:rsidRPr="001278B6" w:rsidRDefault="00EC63C1" w:rsidP="001278B6">
      <w:pPr>
        <w:pStyle w:val="a3"/>
        <w:widowControl/>
        <w:adjustRightInd w:val="0"/>
        <w:snapToGrid w:val="0"/>
        <w:rPr>
          <w:snapToGrid w:val="0"/>
          <w:lang w:val="da-DK"/>
        </w:rPr>
      </w:pPr>
    </w:p>
    <w:p w14:paraId="0EEDE63B" w14:textId="77777777" w:rsidR="00EC63C1" w:rsidRPr="001278B6" w:rsidRDefault="00EC63C1" w:rsidP="001278B6">
      <w:pPr>
        <w:widowControl/>
        <w:pBdr>
          <w:top w:val="single" w:sz="4" w:space="1" w:color="auto"/>
          <w:left w:val="single" w:sz="4" w:space="4" w:color="auto"/>
          <w:bottom w:val="single" w:sz="4" w:space="1" w:color="auto"/>
          <w:right w:val="single" w:sz="4" w:space="4" w:color="auto"/>
        </w:pBdr>
        <w:tabs>
          <w:tab w:val="left" w:pos="669"/>
        </w:tabs>
        <w:spacing w:line="252" w:lineRule="exact"/>
        <w:rPr>
          <w:b/>
          <w:lang w:val="da-DK"/>
        </w:rPr>
      </w:pPr>
      <w:r w:rsidRPr="001278B6">
        <w:rPr>
          <w:b/>
          <w:spacing w:val="-5"/>
          <w:lang w:val="da-DK"/>
        </w:rPr>
        <w:t>6.</w:t>
      </w:r>
      <w:r w:rsidRPr="001278B6">
        <w:rPr>
          <w:b/>
          <w:lang w:val="da-DK"/>
        </w:rPr>
        <w:tab/>
      </w:r>
      <w:r w:rsidRPr="001278B6">
        <w:rPr>
          <w:b/>
          <w:spacing w:val="-2"/>
          <w:lang w:val="da-DK"/>
        </w:rPr>
        <w:t>ANDET</w:t>
      </w:r>
    </w:p>
    <w:p w14:paraId="57A60BDF" w14:textId="77777777" w:rsidR="0079124A" w:rsidRPr="001278B6" w:rsidRDefault="0079124A" w:rsidP="001278B6">
      <w:pPr>
        <w:widowControl/>
        <w:adjustRightInd w:val="0"/>
        <w:snapToGrid w:val="0"/>
        <w:rPr>
          <w:snapToGrid w:val="0"/>
          <w:lang w:val="da-DK"/>
        </w:rPr>
      </w:pPr>
    </w:p>
    <w:p w14:paraId="18224AD2" w14:textId="77777777" w:rsidR="003563EF" w:rsidRPr="001278B6" w:rsidRDefault="00B82C85" w:rsidP="001278B6">
      <w:pPr>
        <w:widowControl/>
        <w:rPr>
          <w:snapToGrid w:val="0"/>
          <w:lang w:val="da-DK"/>
        </w:rPr>
      </w:pPr>
      <w:r w:rsidRPr="001278B6">
        <w:rPr>
          <w:snapToGrid w:val="0"/>
          <w:lang w:val="da-DK"/>
        </w:rPr>
        <w:br w:type="page"/>
      </w:r>
    </w:p>
    <w:p w14:paraId="769D27D6" w14:textId="77777777" w:rsidR="003563EF" w:rsidRPr="001278B6" w:rsidRDefault="003563EF" w:rsidP="001278B6">
      <w:pPr>
        <w:pStyle w:val="a3"/>
        <w:widowControl/>
        <w:adjustRightInd w:val="0"/>
        <w:snapToGrid w:val="0"/>
        <w:rPr>
          <w:snapToGrid w:val="0"/>
          <w:lang w:val="da-DK"/>
        </w:rPr>
      </w:pPr>
    </w:p>
    <w:p w14:paraId="060E3CE0" w14:textId="77777777" w:rsidR="003563EF" w:rsidRPr="001278B6" w:rsidRDefault="003563EF" w:rsidP="001278B6">
      <w:pPr>
        <w:pStyle w:val="a3"/>
        <w:widowControl/>
        <w:adjustRightInd w:val="0"/>
        <w:snapToGrid w:val="0"/>
        <w:rPr>
          <w:snapToGrid w:val="0"/>
          <w:lang w:val="da-DK"/>
        </w:rPr>
      </w:pPr>
    </w:p>
    <w:p w14:paraId="6B4201DD" w14:textId="77777777" w:rsidR="003563EF" w:rsidRPr="001278B6" w:rsidRDefault="003563EF" w:rsidP="001278B6">
      <w:pPr>
        <w:pStyle w:val="a3"/>
        <w:widowControl/>
        <w:adjustRightInd w:val="0"/>
        <w:snapToGrid w:val="0"/>
        <w:rPr>
          <w:snapToGrid w:val="0"/>
          <w:lang w:val="da-DK"/>
        </w:rPr>
      </w:pPr>
    </w:p>
    <w:p w14:paraId="5E4E66BB" w14:textId="77777777" w:rsidR="003563EF" w:rsidRPr="001278B6" w:rsidRDefault="003563EF" w:rsidP="001278B6">
      <w:pPr>
        <w:pStyle w:val="a3"/>
        <w:widowControl/>
        <w:adjustRightInd w:val="0"/>
        <w:snapToGrid w:val="0"/>
        <w:rPr>
          <w:snapToGrid w:val="0"/>
          <w:lang w:val="da-DK"/>
        </w:rPr>
      </w:pPr>
    </w:p>
    <w:p w14:paraId="00C8000F" w14:textId="77777777" w:rsidR="003563EF" w:rsidRPr="001278B6" w:rsidRDefault="003563EF" w:rsidP="001278B6">
      <w:pPr>
        <w:pStyle w:val="a3"/>
        <w:widowControl/>
        <w:adjustRightInd w:val="0"/>
        <w:snapToGrid w:val="0"/>
        <w:rPr>
          <w:snapToGrid w:val="0"/>
          <w:lang w:val="da-DK"/>
        </w:rPr>
      </w:pPr>
    </w:p>
    <w:p w14:paraId="13B6F70D" w14:textId="77777777" w:rsidR="003563EF" w:rsidRPr="001278B6" w:rsidRDefault="003563EF" w:rsidP="001278B6">
      <w:pPr>
        <w:pStyle w:val="a3"/>
        <w:widowControl/>
        <w:adjustRightInd w:val="0"/>
        <w:snapToGrid w:val="0"/>
        <w:rPr>
          <w:snapToGrid w:val="0"/>
          <w:lang w:val="da-DK"/>
        </w:rPr>
      </w:pPr>
    </w:p>
    <w:p w14:paraId="6D3058A8" w14:textId="77777777" w:rsidR="003563EF" w:rsidRPr="001278B6" w:rsidRDefault="003563EF" w:rsidP="001278B6">
      <w:pPr>
        <w:pStyle w:val="a3"/>
        <w:widowControl/>
        <w:adjustRightInd w:val="0"/>
        <w:snapToGrid w:val="0"/>
        <w:rPr>
          <w:snapToGrid w:val="0"/>
          <w:lang w:val="da-DK"/>
        </w:rPr>
      </w:pPr>
    </w:p>
    <w:p w14:paraId="72C60D71" w14:textId="77777777" w:rsidR="003563EF" w:rsidRPr="001278B6" w:rsidRDefault="003563EF" w:rsidP="001278B6">
      <w:pPr>
        <w:pStyle w:val="a3"/>
        <w:widowControl/>
        <w:adjustRightInd w:val="0"/>
        <w:snapToGrid w:val="0"/>
        <w:rPr>
          <w:snapToGrid w:val="0"/>
          <w:lang w:val="da-DK"/>
        </w:rPr>
      </w:pPr>
    </w:p>
    <w:p w14:paraId="32FE9991" w14:textId="77777777" w:rsidR="003563EF" w:rsidRPr="001278B6" w:rsidRDefault="003563EF" w:rsidP="001278B6">
      <w:pPr>
        <w:pStyle w:val="a3"/>
        <w:widowControl/>
        <w:adjustRightInd w:val="0"/>
        <w:snapToGrid w:val="0"/>
        <w:rPr>
          <w:snapToGrid w:val="0"/>
          <w:lang w:val="da-DK"/>
        </w:rPr>
      </w:pPr>
    </w:p>
    <w:p w14:paraId="6C5630B5" w14:textId="77777777" w:rsidR="003563EF" w:rsidRPr="001278B6" w:rsidRDefault="003563EF" w:rsidP="001278B6">
      <w:pPr>
        <w:pStyle w:val="a3"/>
        <w:widowControl/>
        <w:adjustRightInd w:val="0"/>
        <w:snapToGrid w:val="0"/>
        <w:rPr>
          <w:snapToGrid w:val="0"/>
          <w:lang w:val="da-DK"/>
        </w:rPr>
      </w:pPr>
    </w:p>
    <w:p w14:paraId="41977236" w14:textId="77777777" w:rsidR="003563EF" w:rsidRPr="001278B6" w:rsidRDefault="003563EF" w:rsidP="001278B6">
      <w:pPr>
        <w:pStyle w:val="a3"/>
        <w:widowControl/>
        <w:adjustRightInd w:val="0"/>
        <w:snapToGrid w:val="0"/>
        <w:rPr>
          <w:snapToGrid w:val="0"/>
          <w:lang w:val="da-DK"/>
        </w:rPr>
      </w:pPr>
    </w:p>
    <w:p w14:paraId="6A054F2A" w14:textId="77777777" w:rsidR="003563EF" w:rsidRPr="001278B6" w:rsidRDefault="003563EF" w:rsidP="001278B6">
      <w:pPr>
        <w:pStyle w:val="a3"/>
        <w:widowControl/>
        <w:adjustRightInd w:val="0"/>
        <w:snapToGrid w:val="0"/>
        <w:rPr>
          <w:snapToGrid w:val="0"/>
          <w:lang w:val="da-DK"/>
        </w:rPr>
      </w:pPr>
    </w:p>
    <w:p w14:paraId="68BAFE62" w14:textId="77777777" w:rsidR="003563EF" w:rsidRPr="001278B6" w:rsidRDefault="003563EF" w:rsidP="001278B6">
      <w:pPr>
        <w:pStyle w:val="a3"/>
        <w:widowControl/>
        <w:adjustRightInd w:val="0"/>
        <w:snapToGrid w:val="0"/>
        <w:rPr>
          <w:snapToGrid w:val="0"/>
          <w:lang w:val="da-DK"/>
        </w:rPr>
      </w:pPr>
    </w:p>
    <w:p w14:paraId="68BDE6AB" w14:textId="77777777" w:rsidR="003563EF" w:rsidRPr="001278B6" w:rsidRDefault="003563EF" w:rsidP="001278B6">
      <w:pPr>
        <w:pStyle w:val="a3"/>
        <w:widowControl/>
        <w:adjustRightInd w:val="0"/>
        <w:snapToGrid w:val="0"/>
        <w:rPr>
          <w:snapToGrid w:val="0"/>
          <w:lang w:val="da-DK"/>
        </w:rPr>
      </w:pPr>
    </w:p>
    <w:p w14:paraId="58470BA1" w14:textId="77777777" w:rsidR="003563EF" w:rsidRPr="001278B6" w:rsidRDefault="003563EF" w:rsidP="001278B6">
      <w:pPr>
        <w:pStyle w:val="a3"/>
        <w:widowControl/>
        <w:adjustRightInd w:val="0"/>
        <w:snapToGrid w:val="0"/>
        <w:rPr>
          <w:snapToGrid w:val="0"/>
          <w:lang w:val="da-DK"/>
        </w:rPr>
      </w:pPr>
    </w:p>
    <w:p w14:paraId="389613B4" w14:textId="77777777" w:rsidR="003563EF" w:rsidRPr="001278B6" w:rsidRDefault="003563EF" w:rsidP="001278B6">
      <w:pPr>
        <w:pStyle w:val="a3"/>
        <w:widowControl/>
        <w:adjustRightInd w:val="0"/>
        <w:snapToGrid w:val="0"/>
        <w:rPr>
          <w:snapToGrid w:val="0"/>
          <w:lang w:val="da-DK"/>
        </w:rPr>
      </w:pPr>
    </w:p>
    <w:p w14:paraId="707EAFAA" w14:textId="77777777" w:rsidR="003563EF" w:rsidRPr="001278B6" w:rsidRDefault="003563EF" w:rsidP="001278B6">
      <w:pPr>
        <w:pStyle w:val="a3"/>
        <w:widowControl/>
        <w:adjustRightInd w:val="0"/>
        <w:snapToGrid w:val="0"/>
        <w:rPr>
          <w:snapToGrid w:val="0"/>
          <w:lang w:val="da-DK"/>
        </w:rPr>
      </w:pPr>
    </w:p>
    <w:p w14:paraId="4725ED57" w14:textId="77777777" w:rsidR="003563EF" w:rsidRPr="001278B6" w:rsidRDefault="003563EF" w:rsidP="001278B6">
      <w:pPr>
        <w:pStyle w:val="a3"/>
        <w:widowControl/>
        <w:adjustRightInd w:val="0"/>
        <w:snapToGrid w:val="0"/>
        <w:rPr>
          <w:snapToGrid w:val="0"/>
          <w:lang w:val="da-DK"/>
        </w:rPr>
      </w:pPr>
    </w:p>
    <w:p w14:paraId="150F01B1" w14:textId="77777777" w:rsidR="003563EF" w:rsidRPr="001278B6" w:rsidRDefault="003563EF" w:rsidP="001278B6">
      <w:pPr>
        <w:pStyle w:val="a3"/>
        <w:widowControl/>
        <w:adjustRightInd w:val="0"/>
        <w:snapToGrid w:val="0"/>
        <w:rPr>
          <w:snapToGrid w:val="0"/>
          <w:lang w:val="da-DK"/>
        </w:rPr>
      </w:pPr>
    </w:p>
    <w:p w14:paraId="7BC0AA08" w14:textId="77777777" w:rsidR="003563EF" w:rsidRPr="001278B6" w:rsidRDefault="003563EF" w:rsidP="001278B6">
      <w:pPr>
        <w:pStyle w:val="a3"/>
        <w:widowControl/>
        <w:adjustRightInd w:val="0"/>
        <w:snapToGrid w:val="0"/>
        <w:rPr>
          <w:snapToGrid w:val="0"/>
          <w:lang w:val="da-DK"/>
        </w:rPr>
      </w:pPr>
    </w:p>
    <w:p w14:paraId="2947E0BB" w14:textId="77777777" w:rsidR="003563EF" w:rsidRPr="001278B6" w:rsidRDefault="003563EF" w:rsidP="001278B6">
      <w:pPr>
        <w:pStyle w:val="a3"/>
        <w:widowControl/>
        <w:adjustRightInd w:val="0"/>
        <w:snapToGrid w:val="0"/>
        <w:rPr>
          <w:snapToGrid w:val="0"/>
          <w:lang w:val="da-DK"/>
        </w:rPr>
      </w:pPr>
    </w:p>
    <w:p w14:paraId="45852818" w14:textId="77777777" w:rsidR="003563EF" w:rsidRPr="001278B6" w:rsidRDefault="003563EF" w:rsidP="001278B6">
      <w:pPr>
        <w:pStyle w:val="a3"/>
        <w:widowControl/>
        <w:adjustRightInd w:val="0"/>
        <w:snapToGrid w:val="0"/>
        <w:rPr>
          <w:snapToGrid w:val="0"/>
          <w:lang w:val="da-DK"/>
        </w:rPr>
      </w:pPr>
    </w:p>
    <w:p w14:paraId="20600979" w14:textId="77777777" w:rsidR="003563EF" w:rsidRPr="001278B6" w:rsidRDefault="00034593" w:rsidP="001278B6">
      <w:pPr>
        <w:pStyle w:val="1"/>
        <w:widowControl/>
        <w:adjustRightInd w:val="0"/>
        <w:snapToGrid w:val="0"/>
        <w:ind w:left="0"/>
        <w:jc w:val="center"/>
        <w:rPr>
          <w:snapToGrid w:val="0"/>
          <w:lang w:val="da-DK"/>
        </w:rPr>
      </w:pPr>
      <w:bookmarkStart w:id="9" w:name="B._INDLÆGSSEDDEL"/>
      <w:bookmarkEnd w:id="9"/>
      <w:r>
        <w:rPr>
          <w:snapToGrid w:val="0"/>
          <w:lang w:val="da-DK"/>
        </w:rPr>
        <w:t xml:space="preserve">B. </w:t>
      </w:r>
      <w:r w:rsidR="00473235" w:rsidRPr="001278B6">
        <w:rPr>
          <w:snapToGrid w:val="0"/>
          <w:lang w:val="da-DK"/>
        </w:rPr>
        <w:t>INDLÆGSSEDDEL</w:t>
      </w:r>
    </w:p>
    <w:p w14:paraId="1F5817E3" w14:textId="77777777" w:rsidR="003563EF" w:rsidRPr="001278B6" w:rsidRDefault="00B82C85" w:rsidP="001278B6">
      <w:pPr>
        <w:widowControl/>
        <w:jc w:val="center"/>
        <w:rPr>
          <w:b/>
          <w:bCs/>
          <w:snapToGrid w:val="0"/>
          <w:lang w:val="da-DK"/>
        </w:rPr>
      </w:pPr>
      <w:r w:rsidRPr="001278B6">
        <w:rPr>
          <w:snapToGrid w:val="0"/>
          <w:lang w:val="da-DK"/>
        </w:rPr>
        <w:br w:type="page"/>
      </w:r>
      <w:r w:rsidR="00473235" w:rsidRPr="001278B6">
        <w:rPr>
          <w:b/>
          <w:bCs/>
          <w:snapToGrid w:val="0"/>
          <w:lang w:val="da-DK"/>
        </w:rPr>
        <w:lastRenderedPageBreak/>
        <w:t>Indlægsseddel: Information til brugeren</w:t>
      </w:r>
    </w:p>
    <w:p w14:paraId="11992A65" w14:textId="77777777" w:rsidR="003563EF" w:rsidRPr="001278B6" w:rsidRDefault="003563EF" w:rsidP="001278B6">
      <w:pPr>
        <w:pStyle w:val="a3"/>
        <w:widowControl/>
        <w:adjustRightInd w:val="0"/>
        <w:snapToGrid w:val="0"/>
        <w:rPr>
          <w:b/>
          <w:snapToGrid w:val="0"/>
          <w:lang w:val="da-DK"/>
        </w:rPr>
      </w:pPr>
    </w:p>
    <w:p w14:paraId="3BFC30BF" w14:textId="7424B12E" w:rsidR="003563EF" w:rsidRPr="001278B6" w:rsidRDefault="00295FBB" w:rsidP="001278B6">
      <w:pPr>
        <w:widowControl/>
        <w:adjustRightInd w:val="0"/>
        <w:snapToGrid w:val="0"/>
        <w:jc w:val="center"/>
        <w:rPr>
          <w:b/>
          <w:snapToGrid w:val="0"/>
          <w:lang w:val="da-DK"/>
        </w:rPr>
      </w:pPr>
      <w:r>
        <w:rPr>
          <w:b/>
          <w:snapToGrid w:val="0"/>
          <w:lang w:val="da-DK"/>
        </w:rPr>
        <w:t>Vegzelma</w:t>
      </w:r>
      <w:r w:rsidR="00473235" w:rsidRPr="001278B6">
        <w:rPr>
          <w:b/>
          <w:snapToGrid w:val="0"/>
          <w:lang w:val="da-DK"/>
        </w:rPr>
        <w:t xml:space="preserve"> 25 mg/ml koncentrat til infusionsvæske, opløsning</w:t>
      </w:r>
    </w:p>
    <w:p w14:paraId="54E6D0E0" w14:textId="77777777" w:rsidR="003563EF" w:rsidRPr="001278B6" w:rsidRDefault="00473235" w:rsidP="001278B6">
      <w:pPr>
        <w:pStyle w:val="a3"/>
        <w:widowControl/>
        <w:adjustRightInd w:val="0"/>
        <w:snapToGrid w:val="0"/>
        <w:jc w:val="center"/>
        <w:rPr>
          <w:snapToGrid w:val="0"/>
          <w:lang w:val="da-DK"/>
        </w:rPr>
      </w:pPr>
      <w:r w:rsidRPr="001278B6">
        <w:rPr>
          <w:snapToGrid w:val="0"/>
          <w:lang w:val="da-DK"/>
        </w:rPr>
        <w:t>bevacizumab</w:t>
      </w:r>
    </w:p>
    <w:p w14:paraId="35E7F1C6" w14:textId="77777777" w:rsidR="003563EF" w:rsidRPr="001278B6" w:rsidRDefault="003563EF" w:rsidP="001278B6">
      <w:pPr>
        <w:pStyle w:val="a3"/>
        <w:widowControl/>
        <w:adjustRightInd w:val="0"/>
        <w:snapToGrid w:val="0"/>
        <w:rPr>
          <w:snapToGrid w:val="0"/>
          <w:lang w:val="da-DK"/>
        </w:rPr>
      </w:pPr>
    </w:p>
    <w:p w14:paraId="1E330EF3" w14:textId="62F714AD" w:rsidR="00F726A1" w:rsidRPr="00051658" w:rsidRDefault="00752A61" w:rsidP="00747393">
      <w:pPr>
        <w:rPr>
          <w:b/>
          <w:noProof/>
          <w:lang w:val="da-DK"/>
        </w:rPr>
      </w:pPr>
      <w:r>
        <w:rPr>
          <w:noProof/>
        </w:rPr>
        <w:drawing>
          <wp:inline distT="0" distB="0" distL="0" distR="0" wp14:anchorId="1D30EC8D" wp14:editId="56BB1A91">
            <wp:extent cx="190500" cy="158750"/>
            <wp:effectExtent l="0" t="0" r="0" b="0"/>
            <wp:docPr id="2" name="Billed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r w:rsidR="00F726A1" w:rsidRPr="00051658">
        <w:rPr>
          <w:noProof/>
          <w:lang w:val="da-DK"/>
        </w:rPr>
        <w:t>Dette lægemiddel er underlagt supplerende overvågning. Dermed kan der hurtigt tilvejebringes nye oplysninger om sikkerheden. Du kan hjælpe ved at indberette alle de bivirkninger, du får. Se sidst i punkt 4, hvordan du indberetter bivirkninger.</w:t>
      </w:r>
    </w:p>
    <w:p w14:paraId="27D147D6" w14:textId="77777777" w:rsidR="00F726A1" w:rsidRDefault="00F726A1" w:rsidP="00747393">
      <w:pPr>
        <w:rPr>
          <w:snapToGrid w:val="0"/>
          <w:lang w:val="da-DK"/>
        </w:rPr>
      </w:pPr>
    </w:p>
    <w:p w14:paraId="22BDA221" w14:textId="77777777" w:rsidR="003563EF" w:rsidRPr="00747393" w:rsidRDefault="00473235" w:rsidP="00747393">
      <w:pPr>
        <w:rPr>
          <w:b/>
          <w:bCs/>
          <w:snapToGrid w:val="0"/>
          <w:lang w:val="da-DK"/>
        </w:rPr>
      </w:pPr>
      <w:r w:rsidRPr="00747393">
        <w:rPr>
          <w:b/>
          <w:bCs/>
          <w:snapToGrid w:val="0"/>
          <w:lang w:val="da-DK"/>
        </w:rPr>
        <w:t>Læs denne indlægsseddel grundigt, inden du begynder at bruge dette lægemiddel, da det indeholder vigtige oplysninger.</w:t>
      </w:r>
    </w:p>
    <w:p w14:paraId="6001871B" w14:textId="77777777" w:rsidR="003563EF" w:rsidRPr="001278B6" w:rsidRDefault="00473235" w:rsidP="001278B6">
      <w:pPr>
        <w:pStyle w:val="Bullet1"/>
        <w:widowControl/>
        <w:rPr>
          <w:lang w:val="da-DK"/>
        </w:rPr>
      </w:pPr>
      <w:r w:rsidRPr="001278B6">
        <w:rPr>
          <w:lang w:val="da-DK"/>
        </w:rPr>
        <w:t>Gem indlægssedlen. Du kan få brug for at læse den igen.</w:t>
      </w:r>
    </w:p>
    <w:p w14:paraId="35A8FCB6" w14:textId="77777777" w:rsidR="003563EF" w:rsidRPr="001278B6" w:rsidRDefault="00473235" w:rsidP="001278B6">
      <w:pPr>
        <w:pStyle w:val="Bullet1"/>
        <w:widowControl/>
        <w:rPr>
          <w:lang w:val="da-DK"/>
        </w:rPr>
      </w:pPr>
      <w:r w:rsidRPr="001278B6">
        <w:rPr>
          <w:lang w:val="da-DK"/>
        </w:rPr>
        <w:t>Spørg lægen, apotekspersonalet eller sygeplejersken, hvis der er mere, du vil vide.</w:t>
      </w:r>
    </w:p>
    <w:p w14:paraId="2EF3AD28" w14:textId="77777777" w:rsidR="003563EF" w:rsidRPr="001278B6" w:rsidRDefault="00473235" w:rsidP="001278B6">
      <w:pPr>
        <w:pStyle w:val="Bullet1"/>
        <w:widowControl/>
        <w:rPr>
          <w:lang w:val="da-DK"/>
        </w:rPr>
      </w:pPr>
      <w:r w:rsidRPr="001278B6">
        <w:rPr>
          <w:lang w:val="da-DK"/>
        </w:rPr>
        <w:t>Kontakt lægen, apotekspersonalet eller sygesplejersken, hvis en bivirkning bliver værre, eller du får bivirkninger, som ikke er nævnt i denne indlægsseddel. Se punkt 4.</w:t>
      </w:r>
    </w:p>
    <w:p w14:paraId="5546A59B" w14:textId="77777777" w:rsidR="003563EF" w:rsidRPr="001278B6" w:rsidRDefault="003563EF" w:rsidP="001278B6">
      <w:pPr>
        <w:pStyle w:val="a3"/>
        <w:widowControl/>
        <w:adjustRightInd w:val="0"/>
        <w:snapToGrid w:val="0"/>
        <w:rPr>
          <w:snapToGrid w:val="0"/>
          <w:lang w:val="da-DK"/>
        </w:rPr>
      </w:pPr>
    </w:p>
    <w:p w14:paraId="124C0F7E"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Se den nyeste indlægsseddel på </w:t>
      </w:r>
      <w:hyperlink r:id="rId15">
        <w:r w:rsidRPr="001278B6">
          <w:rPr>
            <w:snapToGrid w:val="0"/>
            <w:color w:val="0000FF"/>
            <w:u w:val="single" w:color="0000FF"/>
            <w:lang w:val="da-DK"/>
          </w:rPr>
          <w:t>www.indlaegsseddel.dk</w:t>
        </w:r>
      </w:hyperlink>
    </w:p>
    <w:p w14:paraId="0AFB02A2" w14:textId="77777777" w:rsidR="003563EF" w:rsidRPr="001278B6" w:rsidRDefault="003563EF" w:rsidP="001278B6">
      <w:pPr>
        <w:pStyle w:val="a3"/>
        <w:widowControl/>
        <w:adjustRightInd w:val="0"/>
        <w:snapToGrid w:val="0"/>
        <w:rPr>
          <w:snapToGrid w:val="0"/>
          <w:lang w:val="da-DK"/>
        </w:rPr>
      </w:pPr>
    </w:p>
    <w:p w14:paraId="5AA0BA9F" w14:textId="77777777" w:rsidR="003563EF" w:rsidRPr="00747393" w:rsidRDefault="00473235" w:rsidP="00747393">
      <w:pPr>
        <w:rPr>
          <w:b/>
          <w:bCs/>
          <w:snapToGrid w:val="0"/>
          <w:lang w:val="da-DK"/>
        </w:rPr>
      </w:pPr>
      <w:r w:rsidRPr="00747393">
        <w:rPr>
          <w:b/>
          <w:bCs/>
          <w:snapToGrid w:val="0"/>
          <w:lang w:val="da-DK"/>
        </w:rPr>
        <w:t>Oversigt over indlægssedlen:</w:t>
      </w:r>
    </w:p>
    <w:p w14:paraId="63244153" w14:textId="77777777" w:rsidR="003563EF" w:rsidRPr="001278B6" w:rsidRDefault="003563EF" w:rsidP="001278B6">
      <w:pPr>
        <w:pStyle w:val="a3"/>
        <w:widowControl/>
        <w:adjustRightInd w:val="0"/>
        <w:snapToGrid w:val="0"/>
        <w:rPr>
          <w:snapToGrid w:val="0"/>
          <w:lang w:val="da-DK"/>
        </w:rPr>
      </w:pPr>
    </w:p>
    <w:p w14:paraId="00EAE5A6" w14:textId="77777777"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Virkning og anvendelse</w:t>
      </w:r>
    </w:p>
    <w:p w14:paraId="4E78B246" w14:textId="3EAE1A29"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 xml:space="preserve">Det skal du vide, før du begynder at bruge </w:t>
      </w:r>
      <w:r w:rsidR="00295FBB">
        <w:rPr>
          <w:noProof/>
          <w:color w:val="000000"/>
          <w:lang w:val="da-DK" w:eastAsia="ko-KR"/>
        </w:rPr>
        <w:t>Vegzelma</w:t>
      </w:r>
    </w:p>
    <w:p w14:paraId="075BFE47" w14:textId="382E78D4"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 xml:space="preserve">Sådan skal du bruge </w:t>
      </w:r>
      <w:r w:rsidR="00295FBB">
        <w:rPr>
          <w:noProof/>
          <w:color w:val="000000"/>
          <w:lang w:val="da-DK" w:eastAsia="ko-KR"/>
        </w:rPr>
        <w:t>Vegzelma</w:t>
      </w:r>
    </w:p>
    <w:p w14:paraId="6F36965F" w14:textId="77777777"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Bivirkninger</w:t>
      </w:r>
    </w:p>
    <w:p w14:paraId="1C33BDA4" w14:textId="77777777"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Opbevaring</w:t>
      </w:r>
    </w:p>
    <w:p w14:paraId="07FEEB43" w14:textId="77777777" w:rsidR="003563EF" w:rsidRPr="001278B6" w:rsidRDefault="00473235" w:rsidP="001278B6">
      <w:pPr>
        <w:pStyle w:val="a4"/>
        <w:widowControl/>
        <w:numPr>
          <w:ilvl w:val="0"/>
          <w:numId w:val="3"/>
        </w:numPr>
        <w:adjustRightInd w:val="0"/>
        <w:snapToGrid w:val="0"/>
        <w:ind w:left="0" w:firstLine="0"/>
        <w:rPr>
          <w:snapToGrid w:val="0"/>
          <w:lang w:val="da-DK"/>
        </w:rPr>
      </w:pPr>
      <w:r w:rsidRPr="001278B6">
        <w:rPr>
          <w:snapToGrid w:val="0"/>
          <w:lang w:val="da-DK"/>
        </w:rPr>
        <w:t>Pakningsstørrelse og yderligere oplysninger</w:t>
      </w:r>
    </w:p>
    <w:p w14:paraId="59942309" w14:textId="77777777" w:rsidR="003563EF" w:rsidRPr="001278B6" w:rsidRDefault="003563EF" w:rsidP="001278B6">
      <w:pPr>
        <w:pStyle w:val="a3"/>
        <w:widowControl/>
        <w:adjustRightInd w:val="0"/>
        <w:snapToGrid w:val="0"/>
        <w:rPr>
          <w:snapToGrid w:val="0"/>
          <w:lang w:val="da-DK"/>
        </w:rPr>
      </w:pPr>
    </w:p>
    <w:p w14:paraId="2310E4DE" w14:textId="77777777" w:rsidR="003563EF" w:rsidRPr="001278B6" w:rsidRDefault="003563EF" w:rsidP="001278B6">
      <w:pPr>
        <w:pStyle w:val="a3"/>
        <w:widowControl/>
        <w:adjustRightInd w:val="0"/>
        <w:snapToGrid w:val="0"/>
        <w:rPr>
          <w:snapToGrid w:val="0"/>
          <w:lang w:val="da-DK"/>
        </w:rPr>
      </w:pPr>
    </w:p>
    <w:p w14:paraId="5A28CEE5" w14:textId="77777777" w:rsidR="003563EF" w:rsidRPr="001278B6" w:rsidRDefault="00473235" w:rsidP="001278B6">
      <w:pPr>
        <w:pStyle w:val="2"/>
        <w:widowControl/>
        <w:numPr>
          <w:ilvl w:val="0"/>
          <w:numId w:val="2"/>
        </w:numPr>
        <w:adjustRightInd w:val="0"/>
        <w:snapToGrid w:val="0"/>
        <w:ind w:left="0" w:firstLine="0"/>
        <w:rPr>
          <w:snapToGrid w:val="0"/>
          <w:lang w:val="da-DK"/>
        </w:rPr>
      </w:pPr>
      <w:r w:rsidRPr="001278B6">
        <w:rPr>
          <w:snapToGrid w:val="0"/>
          <w:lang w:val="da-DK"/>
        </w:rPr>
        <w:t>Virkning og anvendelse</w:t>
      </w:r>
    </w:p>
    <w:p w14:paraId="6A961482" w14:textId="77777777" w:rsidR="003563EF" w:rsidRPr="001278B6" w:rsidRDefault="003563EF" w:rsidP="001278B6">
      <w:pPr>
        <w:pStyle w:val="a3"/>
        <w:widowControl/>
        <w:adjustRightInd w:val="0"/>
        <w:snapToGrid w:val="0"/>
        <w:rPr>
          <w:b/>
          <w:snapToGrid w:val="0"/>
          <w:lang w:val="da-DK"/>
        </w:rPr>
      </w:pPr>
    </w:p>
    <w:p w14:paraId="1A9DBFF5" w14:textId="69DE2000"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indeholder det aktive stof bevacizumab, som er et humaniseret monoklonalt antistof (et type protein, som normalt laves af immunsystemet, og som hjælper med at beskytte kroppen mod infektioner og kræft). Bevacizumab bindes selektivt til et protein, som kaldes human vaskulær endotelial vækstfaktor (VEGF), som findes på indersiden af blod</w:t>
      </w:r>
      <w:r w:rsidR="004B3750">
        <w:rPr>
          <w:snapToGrid w:val="0"/>
          <w:lang w:val="da-DK"/>
        </w:rPr>
        <w:noBreakHyphen/>
      </w:r>
      <w:r w:rsidR="00473235" w:rsidRPr="001278B6">
        <w:rPr>
          <w:snapToGrid w:val="0"/>
          <w:lang w:val="da-DK"/>
        </w:rPr>
        <w:t xml:space="preserve"> og lymfekar i kroppen. VEGF</w:t>
      </w:r>
      <w:r w:rsidR="004B3750">
        <w:rPr>
          <w:snapToGrid w:val="0"/>
          <w:lang w:val="da-DK"/>
        </w:rPr>
        <w:noBreakHyphen/>
      </w:r>
      <w:r w:rsidR="00473235" w:rsidRPr="001278B6">
        <w:rPr>
          <w:snapToGrid w:val="0"/>
          <w:lang w:val="da-DK"/>
        </w:rPr>
        <w:t>proteinet får blodkarrene i kræftknuden til at vokse. Disse blodkar forsyner tumoren med næringsstoffer og ilt. Når bevacizumab først er bundet til VEGF, forhindres tumoren i at vokse, idet væksten af de blodkar, som forsyner tumoren med næringsstoffer og ilt, blokeres.</w:t>
      </w:r>
    </w:p>
    <w:p w14:paraId="30D9CFBB" w14:textId="77777777" w:rsidR="003563EF" w:rsidRPr="001278B6" w:rsidRDefault="003563EF" w:rsidP="001278B6">
      <w:pPr>
        <w:pStyle w:val="a3"/>
        <w:widowControl/>
        <w:adjustRightInd w:val="0"/>
        <w:snapToGrid w:val="0"/>
        <w:rPr>
          <w:snapToGrid w:val="0"/>
          <w:lang w:val="da-DK"/>
        </w:rPr>
      </w:pPr>
    </w:p>
    <w:p w14:paraId="2F02F57A" w14:textId="564E252B"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er medicin som anvendes hos voksne til behandling af fremskreden kræft i tyktarmen eller endetarmen. </w:t>
      </w:r>
      <w:r>
        <w:rPr>
          <w:noProof/>
          <w:color w:val="000000"/>
          <w:lang w:val="da-DK" w:eastAsia="ko-KR"/>
        </w:rPr>
        <w:t>Vegzelma</w:t>
      </w:r>
      <w:r w:rsidR="00473235" w:rsidRPr="001278B6">
        <w:rPr>
          <w:snapToGrid w:val="0"/>
          <w:lang w:val="da-DK"/>
        </w:rPr>
        <w:t xml:space="preserve"> vil blive givet i kombination med kemoterapibehandling, der indeholder fluoropyrimidin.</w:t>
      </w:r>
    </w:p>
    <w:p w14:paraId="1F901A2C" w14:textId="77777777" w:rsidR="003563EF" w:rsidRPr="001278B6" w:rsidRDefault="003563EF" w:rsidP="001278B6">
      <w:pPr>
        <w:pStyle w:val="a3"/>
        <w:widowControl/>
        <w:adjustRightInd w:val="0"/>
        <w:snapToGrid w:val="0"/>
        <w:rPr>
          <w:snapToGrid w:val="0"/>
          <w:lang w:val="da-DK"/>
        </w:rPr>
      </w:pPr>
    </w:p>
    <w:p w14:paraId="7648BD15" w14:textId="0EF4D809"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anvendes også hos voksne til behandling af metastatisk brystkræft. Når det anvendes til patienter med brystkræft, vil det blive givet sammen med et cytostatikum (lægemiddel mod kræft), der hedder paclitaxel eller capecitabin.</w:t>
      </w:r>
    </w:p>
    <w:p w14:paraId="5F8ACA2F" w14:textId="77777777" w:rsidR="003563EF" w:rsidRPr="001278B6" w:rsidRDefault="003563EF" w:rsidP="001278B6">
      <w:pPr>
        <w:pStyle w:val="a3"/>
        <w:widowControl/>
        <w:adjustRightInd w:val="0"/>
        <w:snapToGrid w:val="0"/>
        <w:rPr>
          <w:snapToGrid w:val="0"/>
          <w:lang w:val="da-DK"/>
        </w:rPr>
      </w:pPr>
    </w:p>
    <w:p w14:paraId="6A7B5B24" w14:textId="3261DB4A"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bruges også hos voksne til behandling af fremskreden ikke</w:t>
      </w:r>
      <w:r w:rsidR="004B3750">
        <w:rPr>
          <w:snapToGrid w:val="0"/>
          <w:lang w:val="da-DK"/>
        </w:rPr>
        <w:noBreakHyphen/>
      </w:r>
      <w:r w:rsidR="00473235" w:rsidRPr="001278B6">
        <w:rPr>
          <w:snapToGrid w:val="0"/>
          <w:lang w:val="da-DK"/>
        </w:rPr>
        <w:t xml:space="preserve">småcellet lungekræft. </w:t>
      </w:r>
      <w:r>
        <w:rPr>
          <w:noProof/>
          <w:color w:val="000000"/>
          <w:lang w:val="da-DK" w:eastAsia="ko-KR"/>
        </w:rPr>
        <w:t>Vegzelma</w:t>
      </w:r>
      <w:r w:rsidR="00473235" w:rsidRPr="001278B6">
        <w:rPr>
          <w:snapToGrid w:val="0"/>
          <w:lang w:val="da-DK"/>
        </w:rPr>
        <w:t xml:space="preserve"> vil blive givet sammen med kemoterapibehandling, der indeholder platin.</w:t>
      </w:r>
    </w:p>
    <w:p w14:paraId="19646DC4" w14:textId="77777777" w:rsidR="003563EF" w:rsidRPr="001278B6" w:rsidRDefault="003563EF" w:rsidP="001278B6">
      <w:pPr>
        <w:pStyle w:val="a3"/>
        <w:widowControl/>
        <w:adjustRightInd w:val="0"/>
        <w:snapToGrid w:val="0"/>
        <w:rPr>
          <w:snapToGrid w:val="0"/>
          <w:lang w:val="da-DK"/>
        </w:rPr>
      </w:pPr>
    </w:p>
    <w:p w14:paraId="3CD3AB14" w14:textId="2EEB3CD3"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bruges også hos voksne til behandling af fremskreden ikke</w:t>
      </w:r>
      <w:r w:rsidR="004B3750">
        <w:rPr>
          <w:snapToGrid w:val="0"/>
          <w:lang w:val="da-DK"/>
        </w:rPr>
        <w:noBreakHyphen/>
      </w:r>
      <w:r w:rsidR="00473235" w:rsidRPr="001278B6">
        <w:rPr>
          <w:snapToGrid w:val="0"/>
          <w:lang w:val="da-DK"/>
        </w:rPr>
        <w:t>småcellet lungekræft, når kræftcellerne har bestemte mutationer i et protein, der kaldes epidermal vækstfaktor</w:t>
      </w:r>
      <w:r w:rsidR="004B3750">
        <w:rPr>
          <w:snapToGrid w:val="0"/>
          <w:lang w:val="da-DK"/>
        </w:rPr>
        <w:noBreakHyphen/>
      </w:r>
      <w:r w:rsidR="00473235" w:rsidRPr="001278B6">
        <w:rPr>
          <w:snapToGrid w:val="0"/>
          <w:lang w:val="da-DK"/>
        </w:rPr>
        <w:t xml:space="preserve">receptor (EGFR). </w:t>
      </w:r>
      <w:r>
        <w:rPr>
          <w:noProof/>
          <w:color w:val="000000"/>
          <w:lang w:val="da-DK" w:eastAsia="ko-KR"/>
        </w:rPr>
        <w:t>Vegzelma</w:t>
      </w:r>
      <w:r w:rsidR="00473235" w:rsidRPr="001278B6">
        <w:rPr>
          <w:snapToGrid w:val="0"/>
          <w:lang w:val="da-DK"/>
        </w:rPr>
        <w:t xml:space="preserve"> vil blive givet sammen med erlotinib.</w:t>
      </w:r>
    </w:p>
    <w:p w14:paraId="1F5704EB" w14:textId="77777777" w:rsidR="003563EF" w:rsidRPr="001278B6" w:rsidRDefault="003563EF" w:rsidP="001278B6">
      <w:pPr>
        <w:pStyle w:val="a3"/>
        <w:widowControl/>
        <w:adjustRightInd w:val="0"/>
        <w:snapToGrid w:val="0"/>
        <w:rPr>
          <w:snapToGrid w:val="0"/>
          <w:lang w:val="da-DK"/>
        </w:rPr>
      </w:pPr>
    </w:p>
    <w:p w14:paraId="68647F5D" w14:textId="118943E5"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bruges også hos voksne til behandling af fremskreden nyrekræft. Når det anvendes til patienter med nyrekræft, bliver det givet sammen med en anden type medicin, som kaldes interferon.</w:t>
      </w:r>
    </w:p>
    <w:p w14:paraId="72770460" w14:textId="77777777" w:rsidR="003563EF" w:rsidRPr="001278B6" w:rsidRDefault="003563EF" w:rsidP="001278B6">
      <w:pPr>
        <w:pStyle w:val="a3"/>
        <w:widowControl/>
        <w:adjustRightInd w:val="0"/>
        <w:snapToGrid w:val="0"/>
        <w:rPr>
          <w:snapToGrid w:val="0"/>
          <w:lang w:val="da-DK"/>
        </w:rPr>
      </w:pPr>
    </w:p>
    <w:p w14:paraId="5AEFBECD" w14:textId="59FE687B" w:rsidR="003563EF" w:rsidRPr="001278B6" w:rsidRDefault="00295FBB" w:rsidP="001278B6">
      <w:pPr>
        <w:pStyle w:val="a3"/>
        <w:widowControl/>
        <w:adjustRightInd w:val="0"/>
        <w:snapToGrid w:val="0"/>
        <w:rPr>
          <w:snapToGrid w:val="0"/>
          <w:lang w:val="da-DK"/>
        </w:rPr>
      </w:pPr>
      <w:r>
        <w:rPr>
          <w:noProof/>
          <w:color w:val="000000"/>
          <w:lang w:val="da-DK" w:eastAsia="ko-KR"/>
        </w:rPr>
        <w:lastRenderedPageBreak/>
        <w:t>Vegzelma</w:t>
      </w:r>
      <w:r w:rsidR="00473235" w:rsidRPr="001278B6">
        <w:rPr>
          <w:snapToGrid w:val="0"/>
          <w:lang w:val="da-DK"/>
        </w:rPr>
        <w:t xml:space="preserve"> bruges også hos voksne til behandling af fremskreden kræft i æggestokkene, kræft i æggeledere eller primær bughindekræft. Når det anvendes til patienter med kræft i æggestokkene, kræft i æggeledere eller primær bughindekræft, bliver det givet sammen med carboplatin og paclitaxel.</w:t>
      </w:r>
    </w:p>
    <w:p w14:paraId="3A7795EA" w14:textId="77777777" w:rsidR="0079124A" w:rsidRPr="001278B6" w:rsidRDefault="0079124A" w:rsidP="001278B6">
      <w:pPr>
        <w:widowControl/>
        <w:adjustRightInd w:val="0"/>
        <w:snapToGrid w:val="0"/>
        <w:rPr>
          <w:snapToGrid w:val="0"/>
          <w:lang w:val="da-DK"/>
        </w:rPr>
      </w:pPr>
    </w:p>
    <w:p w14:paraId="18BF0AE0" w14:textId="0FFB0AAE" w:rsidR="003563EF" w:rsidRPr="001278B6" w:rsidRDefault="00473235" w:rsidP="001278B6">
      <w:pPr>
        <w:pStyle w:val="a3"/>
        <w:widowControl/>
        <w:adjustRightInd w:val="0"/>
        <w:snapToGrid w:val="0"/>
        <w:rPr>
          <w:snapToGrid w:val="0"/>
          <w:lang w:val="da-DK"/>
        </w:rPr>
      </w:pPr>
      <w:r w:rsidRPr="001278B6">
        <w:rPr>
          <w:snapToGrid w:val="0"/>
          <w:lang w:val="da-DK"/>
        </w:rPr>
        <w:t xml:space="preserve">Når lægemidlet anvendes til voksne patienter med fremskreden kræft i æggestokkene, kræft i æggelederne eller primær bughindekræft, hvor sygdommen er kommet igen mere end 6 måneder efter sidste kemoterapi, som indeholdt platin, vil </w:t>
      </w:r>
      <w:r w:rsidR="00295FBB">
        <w:rPr>
          <w:noProof/>
          <w:color w:val="000000"/>
          <w:lang w:val="da-DK" w:eastAsia="ko-KR"/>
        </w:rPr>
        <w:t>Vegzelma</w:t>
      </w:r>
      <w:r w:rsidRPr="001278B6">
        <w:rPr>
          <w:snapToGrid w:val="0"/>
          <w:lang w:val="da-DK"/>
        </w:rPr>
        <w:t xml:space="preserve"> blive givet sammen med carboplatin og gemcitabin eller sammen med carboplatin og paclitaxel.</w:t>
      </w:r>
    </w:p>
    <w:p w14:paraId="7410F72F" w14:textId="77777777" w:rsidR="003563EF" w:rsidRPr="001278B6" w:rsidRDefault="003563EF" w:rsidP="001278B6">
      <w:pPr>
        <w:pStyle w:val="a3"/>
        <w:widowControl/>
        <w:adjustRightInd w:val="0"/>
        <w:snapToGrid w:val="0"/>
        <w:rPr>
          <w:snapToGrid w:val="0"/>
          <w:lang w:val="da-DK"/>
        </w:rPr>
      </w:pPr>
    </w:p>
    <w:p w14:paraId="49E7AEAD" w14:textId="2CD58071" w:rsidR="003563EF" w:rsidRPr="001278B6" w:rsidRDefault="00473235" w:rsidP="001278B6">
      <w:pPr>
        <w:pStyle w:val="a3"/>
        <w:widowControl/>
        <w:adjustRightInd w:val="0"/>
        <w:snapToGrid w:val="0"/>
        <w:rPr>
          <w:snapToGrid w:val="0"/>
          <w:lang w:val="da-DK"/>
        </w:rPr>
      </w:pPr>
      <w:r w:rsidRPr="001278B6">
        <w:rPr>
          <w:snapToGrid w:val="0"/>
          <w:lang w:val="da-DK"/>
        </w:rPr>
        <w:t xml:space="preserve">Når lægemidlet anvendes til voksne patienter med fremskreden kræft i æggestokkene, kræft i æggeledere eller primær bughindekræft, hvor sygdommen er kommet igen tidligere end 6 måneder efter sidste kemoterapi, som indeholdt platin, vil </w:t>
      </w:r>
      <w:r w:rsidR="00295FBB">
        <w:rPr>
          <w:noProof/>
          <w:color w:val="000000"/>
          <w:lang w:val="da-DK" w:eastAsia="ko-KR"/>
        </w:rPr>
        <w:t>Vegzelma</w:t>
      </w:r>
      <w:r w:rsidRPr="001278B6">
        <w:rPr>
          <w:snapToGrid w:val="0"/>
          <w:lang w:val="da-DK"/>
        </w:rPr>
        <w:t xml:space="preserve"> blive givet sammen med paclitaxel eller topotecan eller pegyleret liposomal doxorubicin.</w:t>
      </w:r>
    </w:p>
    <w:p w14:paraId="5824EC34" w14:textId="77777777" w:rsidR="003563EF" w:rsidRPr="001278B6" w:rsidRDefault="003563EF" w:rsidP="001278B6">
      <w:pPr>
        <w:pStyle w:val="a3"/>
        <w:widowControl/>
        <w:adjustRightInd w:val="0"/>
        <w:snapToGrid w:val="0"/>
        <w:rPr>
          <w:snapToGrid w:val="0"/>
          <w:lang w:val="da-DK"/>
        </w:rPr>
      </w:pPr>
    </w:p>
    <w:p w14:paraId="1B865A10" w14:textId="302ECE67"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EF4689">
        <w:rPr>
          <w:noProof/>
          <w:color w:val="000000"/>
          <w:lang w:val="da-DK" w:eastAsia="ko-KR"/>
        </w:rPr>
        <w:t xml:space="preserve"> </w:t>
      </w:r>
      <w:r w:rsidR="00473235" w:rsidRPr="001278B6">
        <w:rPr>
          <w:snapToGrid w:val="0"/>
          <w:lang w:val="da-DK"/>
        </w:rPr>
        <w:t xml:space="preserve">bruges også i behandlingen af voksne patienter med vedvarende livmoderhalskræft, med livmoderhalskræft, som er kommet igen, eller med livmoderhalskræft, der har spredt sig (dannet metastaser). </w:t>
      </w:r>
      <w:r>
        <w:rPr>
          <w:noProof/>
          <w:color w:val="000000"/>
          <w:lang w:val="da-DK" w:eastAsia="ko-KR"/>
        </w:rPr>
        <w:t>Vegzelma</w:t>
      </w:r>
      <w:r w:rsidR="00473235" w:rsidRPr="001278B6">
        <w:rPr>
          <w:snapToGrid w:val="0"/>
          <w:lang w:val="da-DK"/>
        </w:rPr>
        <w:t xml:space="preserve"> bliver givet sammen med paclitaxel og cisplatin eller med paclitaxel og topotecan til patienter, som ikke kan få platin.</w:t>
      </w:r>
    </w:p>
    <w:p w14:paraId="0C39E31E" w14:textId="77777777" w:rsidR="003563EF" w:rsidRDefault="003563EF">
      <w:pPr>
        <w:pStyle w:val="a3"/>
        <w:widowControl/>
        <w:adjustRightInd w:val="0"/>
        <w:snapToGrid w:val="0"/>
        <w:rPr>
          <w:snapToGrid w:val="0"/>
          <w:lang w:val="da-DK"/>
        </w:rPr>
      </w:pPr>
    </w:p>
    <w:p w14:paraId="23CABE6E" w14:textId="77777777" w:rsidR="00CA0E92" w:rsidRPr="001278B6" w:rsidRDefault="00CA0E92" w:rsidP="001278B6">
      <w:pPr>
        <w:pStyle w:val="a3"/>
        <w:widowControl/>
        <w:adjustRightInd w:val="0"/>
        <w:snapToGrid w:val="0"/>
        <w:rPr>
          <w:snapToGrid w:val="0"/>
          <w:lang w:val="da-DK"/>
        </w:rPr>
      </w:pPr>
    </w:p>
    <w:p w14:paraId="33F85535" w14:textId="0EB11751" w:rsidR="002D1C8A" w:rsidRDefault="00473235" w:rsidP="001278B6">
      <w:pPr>
        <w:pStyle w:val="2"/>
        <w:widowControl/>
        <w:numPr>
          <w:ilvl w:val="0"/>
          <w:numId w:val="2"/>
        </w:numPr>
        <w:adjustRightInd w:val="0"/>
        <w:snapToGrid w:val="0"/>
        <w:ind w:left="0" w:firstLine="0"/>
        <w:rPr>
          <w:snapToGrid w:val="0"/>
          <w:lang w:val="da-DK"/>
        </w:rPr>
      </w:pPr>
      <w:r w:rsidRPr="001278B6">
        <w:rPr>
          <w:snapToGrid w:val="0"/>
          <w:lang w:val="da-DK"/>
        </w:rPr>
        <w:t xml:space="preserve">Det skal du vide, før du begynder at bruge </w:t>
      </w:r>
      <w:r w:rsidR="00295FBB">
        <w:rPr>
          <w:noProof/>
          <w:color w:val="000000"/>
          <w:lang w:val="da-DK" w:eastAsia="ko-KR"/>
        </w:rPr>
        <w:t>Vegzelma</w:t>
      </w:r>
      <w:r w:rsidRPr="001278B6">
        <w:rPr>
          <w:snapToGrid w:val="0"/>
          <w:lang w:val="da-DK"/>
        </w:rPr>
        <w:t xml:space="preserve"> </w:t>
      </w:r>
    </w:p>
    <w:p w14:paraId="75C2F4FF" w14:textId="77777777" w:rsidR="00EB72B4" w:rsidRDefault="00EB72B4" w:rsidP="00747393">
      <w:pPr>
        <w:rPr>
          <w:rFonts w:eastAsia="맑은 고딕"/>
          <w:snapToGrid w:val="0"/>
          <w:lang w:val="da-DK" w:eastAsia="ko-KR"/>
        </w:rPr>
      </w:pPr>
    </w:p>
    <w:p w14:paraId="58E9A486" w14:textId="3AD8465C" w:rsidR="003563EF" w:rsidRPr="00747393" w:rsidRDefault="00473235" w:rsidP="00747393">
      <w:pPr>
        <w:rPr>
          <w:b/>
          <w:bCs/>
          <w:snapToGrid w:val="0"/>
          <w:lang w:val="da-DK"/>
        </w:rPr>
      </w:pPr>
      <w:r w:rsidRPr="00747393">
        <w:rPr>
          <w:b/>
          <w:bCs/>
          <w:snapToGrid w:val="0"/>
          <w:lang w:val="da-DK"/>
        </w:rPr>
        <w:t xml:space="preserve">Brug ikke </w:t>
      </w:r>
      <w:r w:rsidR="00295FBB" w:rsidRPr="00747393">
        <w:rPr>
          <w:b/>
          <w:bCs/>
          <w:noProof/>
          <w:color w:val="000000"/>
          <w:lang w:val="en-GB" w:eastAsia="ko-KR"/>
        </w:rPr>
        <w:t>Vegzelma</w:t>
      </w:r>
      <w:r w:rsidRPr="00747393">
        <w:rPr>
          <w:b/>
          <w:bCs/>
          <w:snapToGrid w:val="0"/>
          <w:lang w:val="da-DK"/>
        </w:rPr>
        <w:t>:</w:t>
      </w:r>
    </w:p>
    <w:p w14:paraId="16599375" w14:textId="3678F7AF" w:rsidR="003563EF" w:rsidRPr="001278B6" w:rsidRDefault="00473235" w:rsidP="001278B6">
      <w:pPr>
        <w:pStyle w:val="Bullet1"/>
        <w:widowControl/>
        <w:rPr>
          <w:lang w:val="da-DK"/>
        </w:rPr>
      </w:pPr>
      <w:r w:rsidRPr="001278B6">
        <w:rPr>
          <w:lang w:val="da-DK"/>
        </w:rPr>
        <w:t xml:space="preserve">hvis du er allergisk over for bevacizumab eller et af de øvrige indholdsstoffer i </w:t>
      </w:r>
      <w:r w:rsidR="002D1C8A">
        <w:rPr>
          <w:lang w:val="da-DK"/>
        </w:rPr>
        <w:t>dette lægemiddel</w:t>
      </w:r>
      <w:r w:rsidRPr="001278B6">
        <w:rPr>
          <w:lang w:val="da-DK"/>
        </w:rPr>
        <w:t xml:space="preserve"> (angivet i punkt 6).</w:t>
      </w:r>
    </w:p>
    <w:p w14:paraId="057A9CC4" w14:textId="77777777" w:rsidR="003563EF" w:rsidRPr="001278B6" w:rsidRDefault="00473235" w:rsidP="001278B6">
      <w:pPr>
        <w:pStyle w:val="Bullet1"/>
        <w:widowControl/>
        <w:rPr>
          <w:lang w:val="da-DK"/>
        </w:rPr>
      </w:pPr>
      <w:r w:rsidRPr="001278B6">
        <w:rPr>
          <w:lang w:val="da-DK"/>
        </w:rPr>
        <w:t>hvis du er allergisk over for celleprodukter fra kinesisk hamsterovarie (CHO) eller overfor andre rekombinante humane eller humaniserede antistoffer.</w:t>
      </w:r>
    </w:p>
    <w:p w14:paraId="4BDCB397" w14:textId="77777777" w:rsidR="003563EF" w:rsidRPr="001278B6" w:rsidRDefault="00473235" w:rsidP="001278B6">
      <w:pPr>
        <w:pStyle w:val="Bullet1"/>
        <w:widowControl/>
        <w:rPr>
          <w:lang w:val="da-DK"/>
        </w:rPr>
      </w:pPr>
      <w:r w:rsidRPr="001278B6">
        <w:rPr>
          <w:lang w:val="da-DK"/>
        </w:rPr>
        <w:t>hvis du er gravid.</w:t>
      </w:r>
    </w:p>
    <w:p w14:paraId="6CE27E05" w14:textId="77777777" w:rsidR="003563EF" w:rsidRPr="001278B6" w:rsidRDefault="003563EF" w:rsidP="001278B6">
      <w:pPr>
        <w:pStyle w:val="a3"/>
        <w:widowControl/>
        <w:adjustRightInd w:val="0"/>
        <w:snapToGrid w:val="0"/>
        <w:rPr>
          <w:snapToGrid w:val="0"/>
          <w:lang w:val="da-DK"/>
        </w:rPr>
      </w:pPr>
    </w:p>
    <w:p w14:paraId="480981AC" w14:textId="77777777" w:rsidR="003563EF" w:rsidRPr="00747393" w:rsidRDefault="00473235" w:rsidP="00747393">
      <w:pPr>
        <w:rPr>
          <w:b/>
          <w:bCs/>
          <w:snapToGrid w:val="0"/>
          <w:lang w:val="da-DK"/>
        </w:rPr>
      </w:pPr>
      <w:r w:rsidRPr="00747393">
        <w:rPr>
          <w:b/>
          <w:bCs/>
          <w:snapToGrid w:val="0"/>
          <w:lang w:val="da-DK"/>
        </w:rPr>
        <w:t>Advarsler og forsigtighedsregler</w:t>
      </w:r>
    </w:p>
    <w:p w14:paraId="2FC08711" w14:textId="160FF949" w:rsidR="003563EF" w:rsidRPr="001278B6" w:rsidRDefault="00473235" w:rsidP="001278B6">
      <w:pPr>
        <w:pStyle w:val="a3"/>
        <w:widowControl/>
        <w:adjustRightInd w:val="0"/>
        <w:snapToGrid w:val="0"/>
        <w:rPr>
          <w:snapToGrid w:val="0"/>
          <w:lang w:val="da-DK"/>
        </w:rPr>
      </w:pPr>
      <w:r w:rsidRPr="001278B6">
        <w:rPr>
          <w:snapToGrid w:val="0"/>
          <w:lang w:val="da-DK"/>
        </w:rPr>
        <w:t xml:space="preserve">Kontakt lægen, apotekspersonalet eller sygeplejersken, før du bruger </w:t>
      </w:r>
      <w:r w:rsidR="00295FBB">
        <w:rPr>
          <w:noProof/>
          <w:color w:val="000000"/>
          <w:lang w:val="da-DK" w:eastAsia="ko-KR"/>
        </w:rPr>
        <w:t>Vegzelma</w:t>
      </w:r>
      <w:r w:rsidRPr="001278B6">
        <w:rPr>
          <w:snapToGrid w:val="0"/>
          <w:lang w:val="da-DK"/>
        </w:rPr>
        <w:t>:</w:t>
      </w:r>
    </w:p>
    <w:p w14:paraId="080A5A04" w14:textId="77777777" w:rsidR="003563EF" w:rsidRPr="001278B6" w:rsidRDefault="003563EF" w:rsidP="001278B6">
      <w:pPr>
        <w:pStyle w:val="a3"/>
        <w:widowControl/>
        <w:adjustRightInd w:val="0"/>
        <w:snapToGrid w:val="0"/>
        <w:rPr>
          <w:snapToGrid w:val="0"/>
          <w:lang w:val="da-DK"/>
        </w:rPr>
      </w:pPr>
    </w:p>
    <w:p w14:paraId="102BFFD5" w14:textId="7DDB3264" w:rsidR="003563EF" w:rsidRPr="001278B6" w:rsidRDefault="00473235" w:rsidP="001278B6">
      <w:pPr>
        <w:pStyle w:val="Bullet1"/>
        <w:widowControl/>
        <w:rPr>
          <w:lang w:val="da-DK"/>
        </w:rPr>
      </w:pPr>
      <w:r w:rsidRPr="001278B6">
        <w:rPr>
          <w:lang w:val="da-DK"/>
        </w:rPr>
        <w:t xml:space="preserve">Det er muligt, at </w:t>
      </w:r>
      <w:r w:rsidR="00295FBB">
        <w:rPr>
          <w:noProof/>
          <w:color w:val="000000"/>
          <w:lang w:val="da-DK" w:eastAsia="ko-KR"/>
        </w:rPr>
        <w:t>Vegzelma</w:t>
      </w:r>
      <w:r w:rsidRPr="001278B6">
        <w:rPr>
          <w:lang w:val="da-DK"/>
        </w:rPr>
        <w:t xml:space="preserve"> kan øge risikoen for, at der dannes huller i tarmvæggen. Tal med din læge, hvis du har tilstande, som forårsager betændelse i maveregionen (f.eks. diverticulitis, mavesår, tyktarmsbetændelse forbundet med kemoterapi).</w:t>
      </w:r>
    </w:p>
    <w:p w14:paraId="03024096" w14:textId="77777777" w:rsidR="003563EF" w:rsidRPr="001278B6" w:rsidRDefault="003563EF" w:rsidP="001278B6">
      <w:pPr>
        <w:pStyle w:val="a3"/>
        <w:widowControl/>
        <w:adjustRightInd w:val="0"/>
        <w:snapToGrid w:val="0"/>
        <w:rPr>
          <w:snapToGrid w:val="0"/>
          <w:lang w:val="da-DK"/>
        </w:rPr>
      </w:pPr>
    </w:p>
    <w:p w14:paraId="0874626F" w14:textId="5D293477"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risikoen for, at der dannes abnorme forbindelser eller passager mellem to organer eller blodårer. Risikoen for at udvikle en rørformet forbindelse (fistel) mellem skeden og et eller andet sted på tarmen kan øges, hvis du har vedvarende livmoderhalskræft, hvis livmoderhalskræften er kommet igen, eller hvis livmoderhalskræften har spredt sig.</w:t>
      </w:r>
    </w:p>
    <w:p w14:paraId="73F0E8AE" w14:textId="77777777" w:rsidR="003563EF" w:rsidRPr="001278B6" w:rsidRDefault="003563EF" w:rsidP="001278B6">
      <w:pPr>
        <w:pStyle w:val="a3"/>
        <w:widowControl/>
        <w:adjustRightInd w:val="0"/>
        <w:snapToGrid w:val="0"/>
        <w:rPr>
          <w:snapToGrid w:val="0"/>
          <w:lang w:val="da-DK"/>
        </w:rPr>
      </w:pPr>
    </w:p>
    <w:p w14:paraId="7C1B606C" w14:textId="633A0530"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risikoen for blødning eller problemer med sårhelingen efter operation. Hvis du skal opereres, hvis du har fået foretaget en større operation indenfor de sidste 28 dage, eller hvis du har et sår efter en operation, som ikke er helet, må du ikke få</w:t>
      </w:r>
      <w:r w:rsidR="00412A17">
        <w:rPr>
          <w:lang w:val="da-DK"/>
        </w:rPr>
        <w:t xml:space="preserve"> </w:t>
      </w:r>
      <w:r>
        <w:rPr>
          <w:lang w:val="da-DK"/>
        </w:rPr>
        <w:t>Vegzelma</w:t>
      </w:r>
      <w:r w:rsidR="00473235" w:rsidRPr="001278B6">
        <w:rPr>
          <w:lang w:val="da-DK"/>
        </w:rPr>
        <w:t>.</w:t>
      </w:r>
    </w:p>
    <w:p w14:paraId="414EFEA7" w14:textId="77777777" w:rsidR="003563EF" w:rsidRPr="001278B6" w:rsidRDefault="003563EF" w:rsidP="001278B6">
      <w:pPr>
        <w:pStyle w:val="a3"/>
        <w:widowControl/>
        <w:adjustRightInd w:val="0"/>
        <w:snapToGrid w:val="0"/>
        <w:rPr>
          <w:snapToGrid w:val="0"/>
          <w:lang w:val="da-DK"/>
        </w:rPr>
      </w:pPr>
    </w:p>
    <w:p w14:paraId="0E8C2A68" w14:textId="43E5EBDD"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risikoen for udvikling af alvorlige infektioner i huden eller i de dybereliggende lag under huden, især hvis du har haft hul i tarmen eller problemer med sårheling.</w:t>
      </w:r>
    </w:p>
    <w:p w14:paraId="3243942D" w14:textId="77777777" w:rsidR="003563EF" w:rsidRPr="001278B6" w:rsidRDefault="003563EF" w:rsidP="001278B6">
      <w:pPr>
        <w:pStyle w:val="a3"/>
        <w:widowControl/>
        <w:adjustRightInd w:val="0"/>
        <w:snapToGrid w:val="0"/>
        <w:rPr>
          <w:snapToGrid w:val="0"/>
          <w:lang w:val="da-DK"/>
        </w:rPr>
      </w:pPr>
    </w:p>
    <w:p w14:paraId="65984542" w14:textId="2E1DF4E1"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hyppigheden af forhøjet blodtryk. Hvis du har forhøjet blodtryk, som ikke er velbehandlet med blodtrykssænkende medicin, skal du kontakte din læge, fordi det er vigtigt at sikre, at dit blodtryk er under kontrol, før du starter i behandling med </w:t>
      </w:r>
      <w:r>
        <w:rPr>
          <w:noProof/>
          <w:color w:val="000000"/>
          <w:lang w:val="da-DK" w:eastAsia="ko-KR"/>
        </w:rPr>
        <w:t>Vegzelma</w:t>
      </w:r>
      <w:r w:rsidR="00473235" w:rsidRPr="001278B6">
        <w:rPr>
          <w:lang w:val="da-DK"/>
        </w:rPr>
        <w:t>.</w:t>
      </w:r>
    </w:p>
    <w:p w14:paraId="1DA5D6AF" w14:textId="77777777" w:rsidR="003563EF" w:rsidRPr="001278B6" w:rsidRDefault="003563EF" w:rsidP="001278B6">
      <w:pPr>
        <w:pStyle w:val="a3"/>
        <w:widowControl/>
        <w:adjustRightInd w:val="0"/>
        <w:snapToGrid w:val="0"/>
        <w:rPr>
          <w:snapToGrid w:val="0"/>
          <w:lang w:val="da-DK"/>
        </w:rPr>
      </w:pPr>
    </w:p>
    <w:p w14:paraId="7E29CC04" w14:textId="77777777" w:rsidR="003563EF" w:rsidRPr="001278B6" w:rsidRDefault="00473235" w:rsidP="001278B6">
      <w:pPr>
        <w:pStyle w:val="Bullet1"/>
        <w:widowControl/>
        <w:rPr>
          <w:lang w:val="da-DK"/>
        </w:rPr>
      </w:pPr>
      <w:r w:rsidRPr="001278B6">
        <w:rPr>
          <w:lang w:val="da-DK"/>
        </w:rPr>
        <w:t>Hvis du har eller har haft et aneurisme (udvidelse og svækkelse af en blodårevæg) eller en rift i en blodårevæg.</w:t>
      </w:r>
    </w:p>
    <w:p w14:paraId="2484AA7E" w14:textId="77777777" w:rsidR="003563EF" w:rsidRPr="001278B6" w:rsidRDefault="003563EF" w:rsidP="001278B6">
      <w:pPr>
        <w:pStyle w:val="a3"/>
        <w:widowControl/>
        <w:adjustRightInd w:val="0"/>
        <w:snapToGrid w:val="0"/>
        <w:rPr>
          <w:snapToGrid w:val="0"/>
          <w:lang w:val="da-DK"/>
        </w:rPr>
      </w:pPr>
    </w:p>
    <w:p w14:paraId="108D7320" w14:textId="4E482B29"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risikoen for at få protein i urinen, især hvis du har forhøjet blodtryk.</w:t>
      </w:r>
    </w:p>
    <w:p w14:paraId="1D8653D1" w14:textId="77777777" w:rsidR="003563EF" w:rsidRPr="001278B6" w:rsidRDefault="003563EF" w:rsidP="001278B6">
      <w:pPr>
        <w:pStyle w:val="a3"/>
        <w:widowControl/>
        <w:adjustRightInd w:val="0"/>
        <w:snapToGrid w:val="0"/>
        <w:rPr>
          <w:snapToGrid w:val="0"/>
          <w:lang w:val="da-DK"/>
        </w:rPr>
      </w:pPr>
    </w:p>
    <w:p w14:paraId="454A2D73" w14:textId="77777777" w:rsidR="003563EF" w:rsidRPr="001278B6" w:rsidRDefault="00473235" w:rsidP="001278B6">
      <w:pPr>
        <w:pStyle w:val="Bullet1"/>
        <w:widowControl/>
        <w:rPr>
          <w:lang w:val="da-DK"/>
        </w:rPr>
      </w:pPr>
      <w:r w:rsidRPr="001278B6">
        <w:rPr>
          <w:lang w:val="da-DK"/>
        </w:rPr>
        <w:t>Risikoen for at udvikle blodpropper i arterierne (en type blodkar) kan øges, hvis du er over 65</w:t>
      </w:r>
      <w:r w:rsidR="00A120AB">
        <w:rPr>
          <w:lang w:val="da-DK"/>
        </w:rPr>
        <w:t> </w:t>
      </w:r>
      <w:r w:rsidRPr="001278B6">
        <w:rPr>
          <w:lang w:val="da-DK"/>
        </w:rPr>
        <w:t>år, hvis du har sukkersyge, eller hvis du tidligere har haft blodpropper i arterierne. Tal med din læge, eftersom blodpropper kan forårsage hjerteanfald og slagtilfælde.</w:t>
      </w:r>
    </w:p>
    <w:p w14:paraId="49BE7B47" w14:textId="77777777" w:rsidR="0079124A" w:rsidRPr="001278B6" w:rsidRDefault="0079124A" w:rsidP="001278B6">
      <w:pPr>
        <w:widowControl/>
        <w:adjustRightInd w:val="0"/>
        <w:snapToGrid w:val="0"/>
        <w:rPr>
          <w:snapToGrid w:val="0"/>
          <w:lang w:val="da-DK"/>
        </w:rPr>
      </w:pPr>
    </w:p>
    <w:p w14:paraId="2B8C3F37" w14:textId="41ACB26A"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også øge risikoen for at udvikle blodpropper i venerne (en type blodkar),</w:t>
      </w:r>
    </w:p>
    <w:p w14:paraId="3E61F473" w14:textId="77777777" w:rsidR="003563EF" w:rsidRPr="001278B6" w:rsidRDefault="003563EF" w:rsidP="001278B6">
      <w:pPr>
        <w:pStyle w:val="a3"/>
        <w:widowControl/>
        <w:adjustRightInd w:val="0"/>
        <w:snapToGrid w:val="0"/>
        <w:rPr>
          <w:snapToGrid w:val="0"/>
          <w:lang w:val="da-DK"/>
        </w:rPr>
      </w:pPr>
    </w:p>
    <w:p w14:paraId="4EEBC6F4" w14:textId="19456347"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forårsage blødning, især tumor</w:t>
      </w:r>
      <w:r w:rsidR="004B3750">
        <w:rPr>
          <w:lang w:val="da-DK"/>
        </w:rPr>
        <w:noBreakHyphen/>
      </w:r>
      <w:r w:rsidR="00473235" w:rsidRPr="001278B6">
        <w:rPr>
          <w:lang w:val="da-DK"/>
        </w:rPr>
        <w:t>relateret blødning. Kontakt din læge, hvis du eller din familie har tendens til blødningsproblemer, eller hvis du tager blodfortyndende medicin.</w:t>
      </w:r>
    </w:p>
    <w:p w14:paraId="463C5D0D" w14:textId="77777777" w:rsidR="003563EF" w:rsidRPr="001278B6" w:rsidRDefault="003563EF" w:rsidP="001278B6">
      <w:pPr>
        <w:pStyle w:val="a3"/>
        <w:widowControl/>
        <w:adjustRightInd w:val="0"/>
        <w:snapToGrid w:val="0"/>
        <w:rPr>
          <w:snapToGrid w:val="0"/>
          <w:lang w:val="da-DK"/>
        </w:rPr>
      </w:pPr>
    </w:p>
    <w:p w14:paraId="14CA9078" w14:textId="15FE5B4F" w:rsidR="003563EF" w:rsidRPr="001278B6" w:rsidRDefault="00473235" w:rsidP="001278B6">
      <w:pPr>
        <w:pStyle w:val="Bullet1"/>
        <w:widowControl/>
        <w:rPr>
          <w:lang w:val="da-DK"/>
        </w:rPr>
      </w:pPr>
      <w:r w:rsidRPr="001278B6">
        <w:rPr>
          <w:lang w:val="da-DK"/>
        </w:rPr>
        <w:t xml:space="preserve">Det er muligt, at </w:t>
      </w:r>
      <w:r w:rsidR="00295FBB">
        <w:rPr>
          <w:noProof/>
          <w:color w:val="000000"/>
          <w:lang w:val="da-DK" w:eastAsia="ko-KR"/>
        </w:rPr>
        <w:t>Vegzelma</w:t>
      </w:r>
      <w:r w:rsidRPr="001278B6">
        <w:rPr>
          <w:lang w:val="da-DK"/>
        </w:rPr>
        <w:t xml:space="preserve"> kan forårsage blødning i og omkring hjernen. Tal med din læge, hvis du har kræftspredning, som påvirker hjernen.</w:t>
      </w:r>
    </w:p>
    <w:p w14:paraId="3A150FC7" w14:textId="77777777" w:rsidR="003563EF" w:rsidRPr="001278B6" w:rsidRDefault="003563EF" w:rsidP="001278B6">
      <w:pPr>
        <w:pStyle w:val="a3"/>
        <w:widowControl/>
        <w:adjustRightInd w:val="0"/>
        <w:snapToGrid w:val="0"/>
        <w:rPr>
          <w:snapToGrid w:val="0"/>
          <w:lang w:val="da-DK"/>
        </w:rPr>
      </w:pPr>
    </w:p>
    <w:p w14:paraId="550B2A5F" w14:textId="5A01A83C" w:rsidR="003563EF" w:rsidRPr="001278B6" w:rsidRDefault="00473235" w:rsidP="001278B6">
      <w:pPr>
        <w:pStyle w:val="Bullet1"/>
        <w:widowControl/>
        <w:rPr>
          <w:lang w:val="da-DK"/>
        </w:rPr>
      </w:pPr>
      <w:r w:rsidRPr="001278B6">
        <w:rPr>
          <w:lang w:val="da-DK"/>
        </w:rPr>
        <w:t xml:space="preserve">Det er muligt, at </w:t>
      </w:r>
      <w:r w:rsidR="00295FBB">
        <w:rPr>
          <w:noProof/>
          <w:color w:val="000000"/>
          <w:lang w:val="da-DK" w:eastAsia="ko-KR"/>
        </w:rPr>
        <w:t>Vegzelma</w:t>
      </w:r>
      <w:r w:rsidRPr="001278B6">
        <w:rPr>
          <w:lang w:val="da-DK"/>
        </w:rPr>
        <w:t xml:space="preserve"> kan øge risikoen for blødning i lungerne, herunder blodig hoste eller spyt. Tal med din læge, hvis du tidligere har bemærket dette.</w:t>
      </w:r>
    </w:p>
    <w:p w14:paraId="286559A0" w14:textId="77777777" w:rsidR="003563EF" w:rsidRPr="001278B6" w:rsidRDefault="003563EF" w:rsidP="001278B6">
      <w:pPr>
        <w:pStyle w:val="a3"/>
        <w:widowControl/>
        <w:adjustRightInd w:val="0"/>
        <w:snapToGrid w:val="0"/>
        <w:rPr>
          <w:snapToGrid w:val="0"/>
          <w:lang w:val="da-DK"/>
        </w:rPr>
      </w:pPr>
    </w:p>
    <w:p w14:paraId="532C242B" w14:textId="0C9FEB07"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øge risikoen for at udvikle et svagt hjerte. Det er vigtigt, at din læge ved, om du tidligere har fået antracykliner (for eksempel doxorubicin, en speciel slags kemoterapi, som bruges mod nogle kræfttyper), om du har fået strålebehandling af brystet, eller om du har en hjertesygdom.</w:t>
      </w:r>
    </w:p>
    <w:p w14:paraId="5F7465AD" w14:textId="77777777" w:rsidR="003563EF" w:rsidRPr="001278B6" w:rsidRDefault="003563EF" w:rsidP="001278B6">
      <w:pPr>
        <w:pStyle w:val="a3"/>
        <w:widowControl/>
        <w:adjustRightInd w:val="0"/>
        <w:snapToGrid w:val="0"/>
        <w:rPr>
          <w:snapToGrid w:val="0"/>
          <w:lang w:val="da-DK"/>
        </w:rPr>
      </w:pPr>
    </w:p>
    <w:p w14:paraId="0F6D98CF" w14:textId="6E082E3A" w:rsidR="003563EF" w:rsidRPr="001278B6" w:rsidRDefault="00295FBB" w:rsidP="001278B6">
      <w:pPr>
        <w:pStyle w:val="Bullet1"/>
        <w:widowControl/>
        <w:rPr>
          <w:lang w:val="da-DK"/>
        </w:rPr>
      </w:pPr>
      <w:r>
        <w:rPr>
          <w:noProof/>
          <w:color w:val="000000"/>
          <w:lang w:val="da-DK" w:eastAsia="ko-KR"/>
        </w:rPr>
        <w:t>Vegzelma</w:t>
      </w:r>
      <w:r w:rsidR="00473235" w:rsidRPr="001278B6">
        <w:rPr>
          <w:lang w:val="da-DK"/>
        </w:rPr>
        <w:t xml:space="preserve"> kan forårsage infektioner og nedsætte antallet af neutrofiler (en type blodceller, som er vigtige for at beskytte dig mod bakterier).</w:t>
      </w:r>
    </w:p>
    <w:p w14:paraId="7A8BF372" w14:textId="77777777" w:rsidR="003563EF" w:rsidRPr="001278B6" w:rsidRDefault="003563EF" w:rsidP="001278B6">
      <w:pPr>
        <w:pStyle w:val="a3"/>
        <w:widowControl/>
        <w:adjustRightInd w:val="0"/>
        <w:snapToGrid w:val="0"/>
        <w:rPr>
          <w:snapToGrid w:val="0"/>
          <w:lang w:val="da-DK"/>
        </w:rPr>
      </w:pPr>
    </w:p>
    <w:p w14:paraId="660749BC" w14:textId="4AE25A3C" w:rsidR="003563EF" w:rsidRPr="001278B6" w:rsidRDefault="00473235" w:rsidP="001278B6">
      <w:pPr>
        <w:pStyle w:val="Bullet1"/>
        <w:widowControl/>
        <w:rPr>
          <w:lang w:val="da-DK"/>
        </w:rPr>
      </w:pPr>
      <w:r w:rsidRPr="001278B6">
        <w:rPr>
          <w:lang w:val="da-DK"/>
        </w:rPr>
        <w:t xml:space="preserve">Det er muligt, at </w:t>
      </w:r>
      <w:r w:rsidR="00295FBB">
        <w:rPr>
          <w:noProof/>
          <w:color w:val="000000"/>
          <w:lang w:val="da-DK" w:eastAsia="ko-KR"/>
        </w:rPr>
        <w:t>Vegzelma</w:t>
      </w:r>
      <w:r w:rsidRPr="001278B6">
        <w:rPr>
          <w:lang w:val="da-DK"/>
        </w:rPr>
        <w:t xml:space="preserve"> kan forårsage </w:t>
      </w:r>
      <w:r w:rsidR="00B80A86">
        <w:rPr>
          <w:lang w:val="da-DK"/>
        </w:rPr>
        <w:t>overfølsomhed</w:t>
      </w:r>
      <w:r w:rsidR="00B80A86" w:rsidRPr="00C35CA6">
        <w:rPr>
          <w:lang w:val="da-DK"/>
        </w:rPr>
        <w:t xml:space="preserve"> </w:t>
      </w:r>
      <w:r w:rsidR="00667130" w:rsidRPr="00667130">
        <w:rPr>
          <w:lang w:val="da-DK"/>
        </w:rPr>
        <w:t>(herunder anafylaktisk shock)</w:t>
      </w:r>
      <w:r w:rsidRPr="001278B6">
        <w:rPr>
          <w:lang w:val="da-DK"/>
        </w:rPr>
        <w:t xml:space="preserve"> og/eller infusionsrelaterede reaktioner. Fortæl lægen, apotekspersonalet eller sygeplejersken, hvis du tidligere har oplevet problemer efter injektioner, såsom svimmelhed/fornemmelse af at besvime, kortåndethed, hævelse eller hududslæt.</w:t>
      </w:r>
    </w:p>
    <w:p w14:paraId="40A48BBC" w14:textId="77777777" w:rsidR="003563EF" w:rsidRPr="001278B6" w:rsidRDefault="003563EF" w:rsidP="001278B6">
      <w:pPr>
        <w:pStyle w:val="a3"/>
        <w:widowControl/>
        <w:adjustRightInd w:val="0"/>
        <w:snapToGrid w:val="0"/>
        <w:rPr>
          <w:snapToGrid w:val="0"/>
          <w:lang w:val="da-DK"/>
        </w:rPr>
      </w:pPr>
    </w:p>
    <w:p w14:paraId="03918E5B" w14:textId="68AC90AD" w:rsidR="00CA0E92" w:rsidRDefault="00473235">
      <w:pPr>
        <w:pStyle w:val="Bullet1"/>
        <w:widowControl/>
        <w:rPr>
          <w:lang w:val="da-DK"/>
        </w:rPr>
      </w:pPr>
      <w:r w:rsidRPr="001278B6">
        <w:rPr>
          <w:lang w:val="da-DK"/>
        </w:rPr>
        <w:t>En sjælden neurologisk bivirkning kaldet posteriort reversibelt encefalopati</w:t>
      </w:r>
      <w:r w:rsidR="004B3750">
        <w:rPr>
          <w:lang w:val="da-DK"/>
        </w:rPr>
        <w:noBreakHyphen/>
      </w:r>
      <w:r w:rsidRPr="001278B6">
        <w:rPr>
          <w:lang w:val="da-DK"/>
        </w:rPr>
        <w:t xml:space="preserve"> syndrom (PRES) har været knyttet til </w:t>
      </w:r>
      <w:r w:rsidR="00295FBB">
        <w:rPr>
          <w:noProof/>
          <w:color w:val="000000"/>
          <w:lang w:val="da-DK" w:eastAsia="ko-KR"/>
        </w:rPr>
        <w:t>Vegzelma</w:t>
      </w:r>
      <w:r w:rsidR="004B3750">
        <w:rPr>
          <w:lang w:val="da-DK"/>
        </w:rPr>
        <w:noBreakHyphen/>
      </w:r>
      <w:r w:rsidRPr="001278B6">
        <w:rPr>
          <w:lang w:val="da-DK"/>
        </w:rPr>
        <w:t>behandling. Hvis du får hovedpine, synsforstyrrelser, bliver omtåget eller får kramper med eller uden forhøjet blodtryk, skal du kontakte lægen.</w:t>
      </w:r>
      <w:r w:rsidR="00F41ED6" w:rsidRPr="001278B6">
        <w:rPr>
          <w:lang w:val="da-DK"/>
        </w:rPr>
        <w:t xml:space="preserve"> </w:t>
      </w:r>
    </w:p>
    <w:p w14:paraId="020EF17C" w14:textId="77777777" w:rsidR="00CA0E92" w:rsidRDefault="00CA0E92" w:rsidP="001278B6">
      <w:pPr>
        <w:pStyle w:val="a4"/>
        <w:rPr>
          <w:lang w:val="da-DK"/>
        </w:rPr>
      </w:pPr>
    </w:p>
    <w:p w14:paraId="1252CCE9" w14:textId="77777777" w:rsidR="00CA0E92" w:rsidRDefault="00473235" w:rsidP="00CA0E92">
      <w:pPr>
        <w:pStyle w:val="Bullet1"/>
        <w:widowControl/>
        <w:numPr>
          <w:ilvl w:val="0"/>
          <w:numId w:val="0"/>
        </w:numPr>
        <w:ind w:left="567" w:hanging="567"/>
        <w:rPr>
          <w:lang w:val="da-DK"/>
        </w:rPr>
      </w:pPr>
      <w:r w:rsidRPr="001278B6">
        <w:rPr>
          <w:lang w:val="da-DK"/>
        </w:rPr>
        <w:t xml:space="preserve">Kontakt din læge, også selvom du kun tidligere har oplevet de ovennævnte tilstande. </w:t>
      </w:r>
    </w:p>
    <w:p w14:paraId="0D8BB63B" w14:textId="77777777" w:rsidR="00CA0E92" w:rsidRDefault="00CA0E92" w:rsidP="00CA0E92">
      <w:pPr>
        <w:pStyle w:val="Bullet1"/>
        <w:widowControl/>
        <w:numPr>
          <w:ilvl w:val="0"/>
          <w:numId w:val="0"/>
        </w:numPr>
        <w:ind w:left="567" w:hanging="567"/>
        <w:rPr>
          <w:lang w:val="da-DK"/>
        </w:rPr>
      </w:pPr>
    </w:p>
    <w:p w14:paraId="43DAA6A9" w14:textId="4461D694" w:rsidR="003563EF" w:rsidRPr="001278B6" w:rsidRDefault="00473235" w:rsidP="001278B6">
      <w:pPr>
        <w:pStyle w:val="Bullet1"/>
        <w:keepNext/>
        <w:keepLines/>
        <w:widowControl/>
        <w:numPr>
          <w:ilvl w:val="0"/>
          <w:numId w:val="0"/>
        </w:numPr>
        <w:ind w:left="567" w:hanging="567"/>
        <w:rPr>
          <w:lang w:val="da-DK"/>
        </w:rPr>
      </w:pPr>
      <w:r w:rsidRPr="001278B6">
        <w:rPr>
          <w:lang w:val="da-DK"/>
        </w:rPr>
        <w:t xml:space="preserve">Før du får </w:t>
      </w:r>
      <w:r w:rsidR="00295FBB">
        <w:rPr>
          <w:noProof/>
          <w:color w:val="000000"/>
          <w:lang w:val="da-DK" w:eastAsia="ko-KR"/>
        </w:rPr>
        <w:t>Vegzelma</w:t>
      </w:r>
      <w:r w:rsidRPr="001278B6">
        <w:rPr>
          <w:lang w:val="da-DK"/>
        </w:rPr>
        <w:t xml:space="preserve">, eller imens du bliver behandlet med </w:t>
      </w:r>
      <w:r w:rsidR="00295FBB">
        <w:rPr>
          <w:noProof/>
          <w:color w:val="000000"/>
          <w:lang w:val="da-DK" w:eastAsia="ko-KR"/>
        </w:rPr>
        <w:t>Vegzelma</w:t>
      </w:r>
      <w:r w:rsidRPr="001278B6">
        <w:rPr>
          <w:lang w:val="da-DK"/>
        </w:rPr>
        <w:t>:</w:t>
      </w:r>
    </w:p>
    <w:p w14:paraId="36388832" w14:textId="77777777" w:rsidR="003563EF" w:rsidRPr="001278B6" w:rsidRDefault="00473235" w:rsidP="001278B6">
      <w:pPr>
        <w:pStyle w:val="Bullet1"/>
        <w:widowControl/>
        <w:rPr>
          <w:lang w:val="da-DK"/>
        </w:rPr>
      </w:pPr>
      <w:r w:rsidRPr="001278B6">
        <w:rPr>
          <w:lang w:val="da-DK"/>
        </w:rPr>
        <w:t xml:space="preserve">hvis du har eller har haft smerter i munden, tænderne og/eller kæben, hævelse eller sår inde </w:t>
      </w:r>
      <w:r w:rsidR="00472186">
        <w:rPr>
          <w:lang w:val="da-DK"/>
        </w:rPr>
        <w:t>i</w:t>
      </w:r>
      <w:r w:rsidR="00F41ED6" w:rsidRPr="001278B6">
        <w:rPr>
          <w:lang w:val="da-DK"/>
        </w:rPr>
        <w:t xml:space="preserve"> </w:t>
      </w:r>
      <w:r w:rsidRPr="001278B6">
        <w:rPr>
          <w:lang w:val="da-DK"/>
        </w:rPr>
        <w:t>munden, følelsesløshed eller en følelse af tyngde i kæben, eller får en løs tand, skal du straks fortælle det til din læge og tandlæge.</w:t>
      </w:r>
    </w:p>
    <w:p w14:paraId="31CDC819" w14:textId="7871B6D7" w:rsidR="003563EF" w:rsidRPr="001278B6" w:rsidRDefault="00473235" w:rsidP="001278B6">
      <w:pPr>
        <w:pStyle w:val="Bullet1"/>
        <w:widowControl/>
        <w:rPr>
          <w:lang w:val="da-DK"/>
        </w:rPr>
      </w:pPr>
      <w:r w:rsidRPr="001278B6">
        <w:rPr>
          <w:lang w:val="da-DK"/>
        </w:rPr>
        <w:t xml:space="preserve">hvis du behøver invasiv tandbehandling (f.eks. tandudtrækning) eller en tandoperation, skal du fortælle din tandlæge, at du er i behandling med </w:t>
      </w:r>
      <w:r w:rsidR="00295FBB">
        <w:rPr>
          <w:noProof/>
          <w:color w:val="000000"/>
          <w:lang w:val="da-DK" w:eastAsia="ko-KR"/>
        </w:rPr>
        <w:t>Vegzelma</w:t>
      </w:r>
      <w:r w:rsidR="00EF4689">
        <w:rPr>
          <w:noProof/>
          <w:color w:val="000000"/>
          <w:lang w:val="da-DK" w:eastAsia="ko-KR"/>
        </w:rPr>
        <w:t xml:space="preserve"> </w:t>
      </w:r>
      <w:r w:rsidR="00EF4689" w:rsidRPr="009A3C0C">
        <w:rPr>
          <w:color w:val="000000"/>
          <w:lang w:val="da-DK"/>
        </w:rPr>
        <w:t>(bevacizumab)</w:t>
      </w:r>
      <w:r w:rsidRPr="001278B6">
        <w:rPr>
          <w:lang w:val="da-DK"/>
        </w:rPr>
        <w:t>, især hvis du også bliver eller er blevet behandlet med bisfosfonater, som injektion i blodet.</w:t>
      </w:r>
    </w:p>
    <w:p w14:paraId="3E822A11" w14:textId="77777777" w:rsidR="003563EF" w:rsidRPr="001278B6" w:rsidRDefault="003563EF" w:rsidP="001278B6">
      <w:pPr>
        <w:pStyle w:val="a3"/>
        <w:widowControl/>
        <w:adjustRightInd w:val="0"/>
        <w:snapToGrid w:val="0"/>
        <w:rPr>
          <w:snapToGrid w:val="0"/>
          <w:lang w:val="da-DK"/>
        </w:rPr>
      </w:pPr>
    </w:p>
    <w:p w14:paraId="2294B6DA" w14:textId="3D805675" w:rsidR="003563EF" w:rsidRPr="001278B6" w:rsidRDefault="00473235" w:rsidP="001278B6">
      <w:pPr>
        <w:pStyle w:val="a3"/>
        <w:widowControl/>
        <w:adjustRightInd w:val="0"/>
        <w:snapToGrid w:val="0"/>
        <w:rPr>
          <w:snapToGrid w:val="0"/>
          <w:lang w:val="da-DK"/>
        </w:rPr>
      </w:pPr>
      <w:r w:rsidRPr="001278B6">
        <w:rPr>
          <w:snapToGrid w:val="0"/>
          <w:lang w:val="da-DK"/>
        </w:rPr>
        <w:t xml:space="preserve">Du kan blive rådet til at få foretaget et tandeftersyn, før du starter i behandling med </w:t>
      </w:r>
      <w:r w:rsidR="00295FBB">
        <w:rPr>
          <w:noProof/>
          <w:color w:val="000000"/>
          <w:lang w:val="da-DK" w:eastAsia="ko-KR"/>
        </w:rPr>
        <w:t>Vegzelma</w:t>
      </w:r>
      <w:r w:rsidRPr="001278B6">
        <w:rPr>
          <w:snapToGrid w:val="0"/>
          <w:lang w:val="da-DK"/>
        </w:rPr>
        <w:t>.</w:t>
      </w:r>
    </w:p>
    <w:p w14:paraId="3E379985" w14:textId="77777777" w:rsidR="003563EF" w:rsidRPr="001278B6" w:rsidRDefault="003563EF" w:rsidP="001278B6">
      <w:pPr>
        <w:pStyle w:val="a3"/>
        <w:widowControl/>
        <w:adjustRightInd w:val="0"/>
        <w:snapToGrid w:val="0"/>
        <w:rPr>
          <w:snapToGrid w:val="0"/>
          <w:lang w:val="da-DK"/>
        </w:rPr>
      </w:pPr>
    </w:p>
    <w:p w14:paraId="7609525D" w14:textId="77777777" w:rsidR="003563EF" w:rsidRPr="00747393" w:rsidRDefault="00473235" w:rsidP="00747393">
      <w:pPr>
        <w:rPr>
          <w:b/>
          <w:bCs/>
          <w:snapToGrid w:val="0"/>
          <w:lang w:val="da-DK"/>
        </w:rPr>
      </w:pPr>
      <w:r w:rsidRPr="00747393">
        <w:rPr>
          <w:b/>
          <w:bCs/>
          <w:snapToGrid w:val="0"/>
          <w:lang w:val="da-DK"/>
        </w:rPr>
        <w:t>Børn og unge</w:t>
      </w:r>
    </w:p>
    <w:p w14:paraId="5EA9ABD3" w14:textId="2BD1578E" w:rsidR="003563EF" w:rsidRPr="001278B6" w:rsidRDefault="00473235" w:rsidP="001278B6">
      <w:pPr>
        <w:pStyle w:val="a3"/>
        <w:widowControl/>
        <w:adjustRightInd w:val="0"/>
        <w:snapToGrid w:val="0"/>
        <w:rPr>
          <w:snapToGrid w:val="0"/>
          <w:lang w:val="da-DK"/>
        </w:rPr>
      </w:pPr>
      <w:r w:rsidRPr="001278B6">
        <w:rPr>
          <w:snapToGrid w:val="0"/>
          <w:lang w:val="da-DK"/>
        </w:rPr>
        <w:t xml:space="preserve">Det frarådes at anvende </w:t>
      </w:r>
      <w:r w:rsidR="00295FBB">
        <w:rPr>
          <w:noProof/>
          <w:color w:val="000000"/>
          <w:lang w:val="da-DK" w:eastAsia="ko-KR"/>
        </w:rPr>
        <w:t>Vegzelma</w:t>
      </w:r>
      <w:r w:rsidRPr="001278B6">
        <w:rPr>
          <w:snapToGrid w:val="0"/>
          <w:lang w:val="da-DK"/>
        </w:rPr>
        <w:t xml:space="preserve"> til børn og unge under 18 år, da sikkerheden og fordelene ved </w:t>
      </w:r>
      <w:r w:rsidR="00295FBB">
        <w:rPr>
          <w:noProof/>
          <w:color w:val="000000"/>
          <w:lang w:val="da-DK" w:eastAsia="ko-KR"/>
        </w:rPr>
        <w:t>Vegzelma</w:t>
      </w:r>
      <w:r w:rsidRPr="001278B6">
        <w:rPr>
          <w:snapToGrid w:val="0"/>
          <w:lang w:val="da-DK"/>
        </w:rPr>
        <w:t xml:space="preserve"> ikke er fastlagt hos denne patientgruppe.</w:t>
      </w:r>
    </w:p>
    <w:p w14:paraId="2E31A92D" w14:textId="77777777" w:rsidR="003563EF" w:rsidRPr="001278B6" w:rsidRDefault="003563EF" w:rsidP="001278B6">
      <w:pPr>
        <w:pStyle w:val="a3"/>
        <w:widowControl/>
        <w:adjustRightInd w:val="0"/>
        <w:snapToGrid w:val="0"/>
        <w:rPr>
          <w:snapToGrid w:val="0"/>
          <w:lang w:val="da-DK"/>
        </w:rPr>
      </w:pPr>
    </w:p>
    <w:p w14:paraId="4233EFED" w14:textId="09C9B5D2" w:rsidR="003563EF" w:rsidRPr="001278B6" w:rsidRDefault="00473235" w:rsidP="001278B6">
      <w:pPr>
        <w:pStyle w:val="a3"/>
        <w:widowControl/>
        <w:adjustRightInd w:val="0"/>
        <w:snapToGrid w:val="0"/>
        <w:rPr>
          <w:snapToGrid w:val="0"/>
          <w:lang w:val="da-DK"/>
        </w:rPr>
      </w:pPr>
      <w:r w:rsidRPr="001278B6">
        <w:rPr>
          <w:snapToGrid w:val="0"/>
          <w:lang w:val="da-DK"/>
        </w:rPr>
        <w:t xml:space="preserve">Der er rapporteret tilfælde af dødt knoglevæv (nekrose) i andre knogler end i kæben hos patienter under 18 år, som blev behandlet med </w:t>
      </w:r>
      <w:r w:rsidR="00D4521A">
        <w:rPr>
          <w:snapToGrid w:val="0"/>
          <w:lang w:val="da-DK"/>
        </w:rPr>
        <w:t>bevacizumab.</w:t>
      </w:r>
    </w:p>
    <w:p w14:paraId="5D882300" w14:textId="77777777" w:rsidR="003563EF" w:rsidRPr="001278B6" w:rsidRDefault="003563EF" w:rsidP="001278B6">
      <w:pPr>
        <w:pStyle w:val="a3"/>
        <w:widowControl/>
        <w:adjustRightInd w:val="0"/>
        <w:snapToGrid w:val="0"/>
        <w:rPr>
          <w:snapToGrid w:val="0"/>
          <w:lang w:val="da-DK"/>
        </w:rPr>
      </w:pPr>
    </w:p>
    <w:p w14:paraId="4AB390EA" w14:textId="1918AD71" w:rsidR="003563EF" w:rsidRPr="00747393" w:rsidRDefault="00473235" w:rsidP="00747393">
      <w:pPr>
        <w:rPr>
          <w:b/>
          <w:bCs/>
          <w:snapToGrid w:val="0"/>
          <w:lang w:val="da-DK"/>
        </w:rPr>
      </w:pPr>
      <w:r w:rsidRPr="00747393">
        <w:rPr>
          <w:b/>
          <w:bCs/>
          <w:snapToGrid w:val="0"/>
          <w:lang w:val="da-DK"/>
        </w:rPr>
        <w:t xml:space="preserve">Brug af anden medicin sammen med </w:t>
      </w:r>
      <w:r w:rsidR="00295FBB" w:rsidRPr="00747393">
        <w:rPr>
          <w:b/>
          <w:bCs/>
          <w:noProof/>
          <w:color w:val="000000"/>
          <w:lang w:val="da-DK" w:eastAsia="ko-KR"/>
        </w:rPr>
        <w:t>Vegzelma</w:t>
      </w:r>
    </w:p>
    <w:p w14:paraId="65CB39A5" w14:textId="77777777" w:rsidR="003563EF" w:rsidRPr="001278B6" w:rsidRDefault="00473235" w:rsidP="001278B6">
      <w:pPr>
        <w:pStyle w:val="a3"/>
        <w:widowControl/>
        <w:adjustRightInd w:val="0"/>
        <w:snapToGrid w:val="0"/>
        <w:rPr>
          <w:snapToGrid w:val="0"/>
          <w:lang w:val="da-DK"/>
        </w:rPr>
      </w:pPr>
      <w:r w:rsidRPr="001278B6">
        <w:rPr>
          <w:snapToGrid w:val="0"/>
          <w:lang w:val="da-DK"/>
        </w:rPr>
        <w:t>Fortæl altid lægen eller apotekspersonalet, hvis du bruger anden medicin, for nylig har brugt anden medicin eller planlægger at bruge anden medicin.</w:t>
      </w:r>
    </w:p>
    <w:p w14:paraId="406F6A93" w14:textId="77777777" w:rsidR="003563EF" w:rsidRPr="001278B6" w:rsidRDefault="003563EF" w:rsidP="001278B6">
      <w:pPr>
        <w:pStyle w:val="a3"/>
        <w:widowControl/>
        <w:adjustRightInd w:val="0"/>
        <w:snapToGrid w:val="0"/>
        <w:rPr>
          <w:snapToGrid w:val="0"/>
          <w:lang w:val="da-DK"/>
        </w:rPr>
      </w:pPr>
    </w:p>
    <w:p w14:paraId="0D585801" w14:textId="62C28D22" w:rsidR="003563EF" w:rsidRPr="001278B6" w:rsidRDefault="00473235" w:rsidP="001278B6">
      <w:pPr>
        <w:pStyle w:val="a3"/>
        <w:widowControl/>
        <w:adjustRightInd w:val="0"/>
        <w:snapToGrid w:val="0"/>
        <w:rPr>
          <w:snapToGrid w:val="0"/>
          <w:lang w:val="da-DK"/>
        </w:rPr>
      </w:pPr>
      <w:r w:rsidRPr="001278B6">
        <w:rPr>
          <w:snapToGrid w:val="0"/>
          <w:lang w:val="da-DK"/>
        </w:rPr>
        <w:lastRenderedPageBreak/>
        <w:t xml:space="preserve">Kombination af </w:t>
      </w:r>
      <w:r w:rsidR="00295FBB">
        <w:rPr>
          <w:noProof/>
          <w:color w:val="000000"/>
          <w:lang w:val="da-DK" w:eastAsia="ko-KR"/>
        </w:rPr>
        <w:t>Vegzelma</w:t>
      </w:r>
      <w:r w:rsidRPr="001278B6">
        <w:rPr>
          <w:snapToGrid w:val="0"/>
          <w:lang w:val="da-DK"/>
        </w:rPr>
        <w:t xml:space="preserve"> med en anden medicin, sunitinibmalat (ordineret for kræft i nyrerne eller mave</w:t>
      </w:r>
      <w:r w:rsidR="004B3750">
        <w:rPr>
          <w:snapToGrid w:val="0"/>
          <w:lang w:val="da-DK"/>
        </w:rPr>
        <w:noBreakHyphen/>
      </w:r>
      <w:r w:rsidRPr="001278B6">
        <w:rPr>
          <w:snapToGrid w:val="0"/>
          <w:lang w:val="da-DK"/>
        </w:rPr>
        <w:t>tarmkanalen) kan forårsage alvorlige bivirkninger. Tal med din læge for at sikre, at du ikke kombinerer disse 2 lægemidler.</w:t>
      </w:r>
    </w:p>
    <w:p w14:paraId="1134E699" w14:textId="77777777" w:rsidR="0079124A" w:rsidRPr="001278B6" w:rsidRDefault="0079124A" w:rsidP="001278B6">
      <w:pPr>
        <w:widowControl/>
        <w:adjustRightInd w:val="0"/>
        <w:snapToGrid w:val="0"/>
        <w:jc w:val="both"/>
        <w:rPr>
          <w:snapToGrid w:val="0"/>
          <w:lang w:val="da-DK"/>
        </w:rPr>
      </w:pPr>
    </w:p>
    <w:p w14:paraId="357F32F4" w14:textId="5CAD3D52" w:rsidR="003563EF" w:rsidRPr="001278B6" w:rsidRDefault="00473235" w:rsidP="001278B6">
      <w:pPr>
        <w:pStyle w:val="a3"/>
        <w:widowControl/>
        <w:adjustRightInd w:val="0"/>
        <w:snapToGrid w:val="0"/>
        <w:rPr>
          <w:snapToGrid w:val="0"/>
          <w:lang w:val="da-DK"/>
        </w:rPr>
      </w:pPr>
      <w:r w:rsidRPr="001278B6">
        <w:rPr>
          <w:snapToGrid w:val="0"/>
          <w:lang w:val="da-DK"/>
        </w:rPr>
        <w:t>Fortæl din læge, hvis du får en platin</w:t>
      </w:r>
      <w:r w:rsidR="004B3750">
        <w:rPr>
          <w:snapToGrid w:val="0"/>
          <w:lang w:val="da-DK"/>
        </w:rPr>
        <w:noBreakHyphen/>
      </w:r>
      <w:r w:rsidRPr="001278B6">
        <w:rPr>
          <w:snapToGrid w:val="0"/>
          <w:lang w:val="da-DK"/>
        </w:rPr>
        <w:t xml:space="preserve"> eller taxan</w:t>
      </w:r>
      <w:r w:rsidR="004B3750">
        <w:rPr>
          <w:snapToGrid w:val="0"/>
          <w:lang w:val="da-DK"/>
        </w:rPr>
        <w:noBreakHyphen/>
      </w:r>
      <w:r w:rsidRPr="001278B6">
        <w:rPr>
          <w:snapToGrid w:val="0"/>
          <w:lang w:val="da-DK"/>
        </w:rPr>
        <w:t xml:space="preserve">baseret behandling til lungekræft eller til brystkræft, som har spredt sig. Kombination af </w:t>
      </w:r>
      <w:r w:rsidR="00295FBB">
        <w:rPr>
          <w:noProof/>
          <w:color w:val="000000"/>
          <w:lang w:val="da-DK" w:eastAsia="ko-KR"/>
        </w:rPr>
        <w:t>Vegzelma</w:t>
      </w:r>
      <w:r w:rsidRPr="001278B6">
        <w:rPr>
          <w:snapToGrid w:val="0"/>
          <w:lang w:val="da-DK"/>
        </w:rPr>
        <w:t xml:space="preserve"> og disse behandlinger kan øge risikoen for alvorlige bivirkninger.</w:t>
      </w:r>
    </w:p>
    <w:p w14:paraId="6BD29D65" w14:textId="77777777" w:rsidR="003563EF" w:rsidRPr="001278B6" w:rsidRDefault="003563EF" w:rsidP="001278B6">
      <w:pPr>
        <w:pStyle w:val="a3"/>
        <w:widowControl/>
        <w:adjustRightInd w:val="0"/>
        <w:snapToGrid w:val="0"/>
        <w:rPr>
          <w:snapToGrid w:val="0"/>
          <w:lang w:val="da-DK"/>
        </w:rPr>
      </w:pPr>
    </w:p>
    <w:p w14:paraId="09ED14F8" w14:textId="77777777" w:rsidR="003563EF" w:rsidRPr="001278B6" w:rsidRDefault="00473235" w:rsidP="001278B6">
      <w:pPr>
        <w:pStyle w:val="a3"/>
        <w:widowControl/>
        <w:adjustRightInd w:val="0"/>
        <w:snapToGrid w:val="0"/>
        <w:rPr>
          <w:snapToGrid w:val="0"/>
          <w:lang w:val="da-DK"/>
        </w:rPr>
      </w:pPr>
      <w:r w:rsidRPr="001278B6">
        <w:rPr>
          <w:snapToGrid w:val="0"/>
          <w:lang w:val="da-DK"/>
        </w:rPr>
        <w:t>Fortæl det til din læge, hvis du får eller for nylig har fået strålebehandling.</w:t>
      </w:r>
    </w:p>
    <w:p w14:paraId="674A2983" w14:textId="77777777" w:rsidR="003563EF" w:rsidRPr="001278B6" w:rsidRDefault="003563EF" w:rsidP="001278B6">
      <w:pPr>
        <w:pStyle w:val="a3"/>
        <w:widowControl/>
        <w:adjustRightInd w:val="0"/>
        <w:snapToGrid w:val="0"/>
        <w:rPr>
          <w:snapToGrid w:val="0"/>
          <w:lang w:val="da-DK"/>
        </w:rPr>
      </w:pPr>
    </w:p>
    <w:p w14:paraId="23276201" w14:textId="77777777" w:rsidR="003563EF" w:rsidRPr="00747393" w:rsidRDefault="00473235" w:rsidP="00747393">
      <w:pPr>
        <w:rPr>
          <w:b/>
          <w:bCs/>
          <w:snapToGrid w:val="0"/>
          <w:lang w:val="da-DK"/>
        </w:rPr>
      </w:pPr>
      <w:r w:rsidRPr="00747393">
        <w:rPr>
          <w:b/>
          <w:bCs/>
          <w:snapToGrid w:val="0"/>
          <w:lang w:val="da-DK"/>
        </w:rPr>
        <w:t>Graviditet, amning og frugtbarhed</w:t>
      </w:r>
    </w:p>
    <w:p w14:paraId="38E78AEB" w14:textId="72D42CB3" w:rsidR="003563EF" w:rsidRPr="001278B6" w:rsidRDefault="00473235" w:rsidP="001278B6">
      <w:pPr>
        <w:pStyle w:val="a3"/>
        <w:widowControl/>
        <w:adjustRightInd w:val="0"/>
        <w:snapToGrid w:val="0"/>
        <w:rPr>
          <w:snapToGrid w:val="0"/>
          <w:lang w:val="da-DK"/>
        </w:rPr>
      </w:pPr>
      <w:r w:rsidRPr="001278B6">
        <w:rPr>
          <w:snapToGrid w:val="0"/>
          <w:lang w:val="da-DK"/>
        </w:rPr>
        <w:t xml:space="preserve">Du må ikke anvende denne medicin, hvis du er gravid. </w:t>
      </w:r>
      <w:r w:rsidR="00295FBB">
        <w:rPr>
          <w:noProof/>
          <w:color w:val="000000"/>
          <w:lang w:val="da-DK" w:eastAsia="ko-KR"/>
        </w:rPr>
        <w:t>Vegzelma</w:t>
      </w:r>
      <w:r w:rsidRPr="001278B6">
        <w:rPr>
          <w:snapToGrid w:val="0"/>
          <w:lang w:val="da-DK"/>
        </w:rPr>
        <w:t xml:space="preserve"> kan skade det ufødte barn, da det kan standse dannelsen af nye blodkar. Din læge bør vejlede dig om anvendelsen af prævention under behandlingen med </w:t>
      </w:r>
      <w:r w:rsidR="00295FBB">
        <w:rPr>
          <w:noProof/>
          <w:color w:val="000000"/>
          <w:lang w:val="da-DK" w:eastAsia="ko-KR"/>
        </w:rPr>
        <w:t>Vegzelma</w:t>
      </w:r>
      <w:r w:rsidRPr="001278B6">
        <w:rPr>
          <w:snapToGrid w:val="0"/>
          <w:lang w:val="da-DK"/>
        </w:rPr>
        <w:t xml:space="preserve"> og i mindst 6 måneder efter sidste </w:t>
      </w:r>
      <w:r w:rsidR="00295FBB">
        <w:rPr>
          <w:noProof/>
          <w:color w:val="000000"/>
          <w:lang w:val="da-DK" w:eastAsia="ko-KR"/>
        </w:rPr>
        <w:t>Vegzelma</w:t>
      </w:r>
      <w:r w:rsidR="004B3750">
        <w:rPr>
          <w:snapToGrid w:val="0"/>
          <w:lang w:val="da-DK"/>
        </w:rPr>
        <w:noBreakHyphen/>
      </w:r>
      <w:r w:rsidRPr="001278B6">
        <w:rPr>
          <w:snapToGrid w:val="0"/>
          <w:lang w:val="da-DK"/>
        </w:rPr>
        <w:t>dosis.</w:t>
      </w:r>
    </w:p>
    <w:p w14:paraId="25C928F2" w14:textId="77777777" w:rsidR="003563EF" w:rsidRPr="001278B6" w:rsidRDefault="003563EF" w:rsidP="001278B6">
      <w:pPr>
        <w:pStyle w:val="a3"/>
        <w:widowControl/>
        <w:adjustRightInd w:val="0"/>
        <w:snapToGrid w:val="0"/>
        <w:rPr>
          <w:snapToGrid w:val="0"/>
          <w:lang w:val="da-DK"/>
        </w:rPr>
      </w:pPr>
    </w:p>
    <w:p w14:paraId="3134A202" w14:textId="50C3BFDE" w:rsidR="003563EF" w:rsidRPr="001278B6" w:rsidRDefault="00473235" w:rsidP="001278B6">
      <w:pPr>
        <w:pStyle w:val="a3"/>
        <w:widowControl/>
        <w:adjustRightInd w:val="0"/>
        <w:snapToGrid w:val="0"/>
        <w:rPr>
          <w:snapToGrid w:val="0"/>
          <w:lang w:val="da-DK"/>
        </w:rPr>
      </w:pPr>
      <w:r w:rsidRPr="001278B6">
        <w:rPr>
          <w:snapToGrid w:val="0"/>
          <w:lang w:val="da-DK"/>
        </w:rPr>
        <w:t xml:space="preserve">Fortæl straks din læge, hvis du er gravid, bliver gravid under behandling med </w:t>
      </w:r>
      <w:r w:rsidR="00295FBB">
        <w:rPr>
          <w:noProof/>
          <w:color w:val="000000"/>
          <w:lang w:val="da-DK" w:eastAsia="ko-KR"/>
        </w:rPr>
        <w:t>Vegzelma</w:t>
      </w:r>
      <w:r w:rsidRPr="001278B6">
        <w:rPr>
          <w:snapToGrid w:val="0"/>
          <w:lang w:val="da-DK"/>
        </w:rPr>
        <w:t xml:space="preserve"> eller har planer at blive gravid.</w:t>
      </w:r>
    </w:p>
    <w:p w14:paraId="4B37F540" w14:textId="2DF7F9F8" w:rsidR="003563EF" w:rsidRPr="001278B6" w:rsidRDefault="00473235" w:rsidP="001278B6">
      <w:pPr>
        <w:pStyle w:val="a3"/>
        <w:widowControl/>
        <w:adjustRightInd w:val="0"/>
        <w:snapToGrid w:val="0"/>
        <w:rPr>
          <w:snapToGrid w:val="0"/>
          <w:lang w:val="da-DK"/>
        </w:rPr>
      </w:pPr>
      <w:r w:rsidRPr="001278B6">
        <w:rPr>
          <w:snapToGrid w:val="0"/>
          <w:lang w:val="da-DK"/>
        </w:rPr>
        <w:t xml:space="preserve">Du må ikke amme under behandling med </w:t>
      </w:r>
      <w:r w:rsidR="00295FBB">
        <w:rPr>
          <w:noProof/>
          <w:color w:val="000000"/>
          <w:lang w:val="da-DK" w:eastAsia="ko-KR"/>
        </w:rPr>
        <w:t>Vegzelma</w:t>
      </w:r>
      <w:r w:rsidRPr="001278B6">
        <w:rPr>
          <w:snapToGrid w:val="0"/>
          <w:lang w:val="da-DK"/>
        </w:rPr>
        <w:t xml:space="preserve"> og i mindst 6 måneder efter sidste </w:t>
      </w:r>
      <w:r w:rsidR="00295FBB">
        <w:rPr>
          <w:noProof/>
          <w:color w:val="000000"/>
          <w:lang w:val="da-DK" w:eastAsia="ko-KR"/>
        </w:rPr>
        <w:t>Vegzelma</w:t>
      </w:r>
      <w:r w:rsidR="004B3750">
        <w:rPr>
          <w:snapToGrid w:val="0"/>
          <w:lang w:val="da-DK"/>
        </w:rPr>
        <w:noBreakHyphen/>
      </w:r>
      <w:r w:rsidRPr="001278B6">
        <w:rPr>
          <w:snapToGrid w:val="0"/>
          <w:lang w:val="da-DK"/>
        </w:rPr>
        <w:t xml:space="preserve">dosis, da </w:t>
      </w:r>
      <w:r w:rsidR="00295FBB">
        <w:rPr>
          <w:noProof/>
          <w:color w:val="000000"/>
          <w:lang w:val="da-DK" w:eastAsia="ko-KR"/>
        </w:rPr>
        <w:t>Vegzelma</w:t>
      </w:r>
      <w:r w:rsidRPr="001278B6">
        <w:rPr>
          <w:snapToGrid w:val="0"/>
          <w:lang w:val="da-DK"/>
        </w:rPr>
        <w:t xml:space="preserve"> kan påvirke væksten og udviklingen af dit barn.</w:t>
      </w:r>
    </w:p>
    <w:p w14:paraId="3CC87FE0" w14:textId="77777777" w:rsidR="003563EF" w:rsidRPr="001278B6" w:rsidRDefault="003563EF" w:rsidP="001278B6">
      <w:pPr>
        <w:pStyle w:val="a3"/>
        <w:widowControl/>
        <w:adjustRightInd w:val="0"/>
        <w:snapToGrid w:val="0"/>
        <w:rPr>
          <w:snapToGrid w:val="0"/>
          <w:lang w:val="da-DK"/>
        </w:rPr>
      </w:pPr>
    </w:p>
    <w:p w14:paraId="72DE963B" w14:textId="1D3D7018" w:rsidR="00BE2B07" w:rsidRDefault="00295FBB" w:rsidP="006D0605">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kan nedsætte kvinders frugtbarhed. Kontakt din læge for at få yderligere information. </w:t>
      </w:r>
    </w:p>
    <w:p w14:paraId="603637D0" w14:textId="77777777" w:rsidR="00BE2B07" w:rsidRDefault="00BE2B07" w:rsidP="006D0605">
      <w:pPr>
        <w:pStyle w:val="a3"/>
        <w:widowControl/>
        <w:adjustRightInd w:val="0"/>
        <w:snapToGrid w:val="0"/>
        <w:rPr>
          <w:snapToGrid w:val="0"/>
          <w:lang w:val="da-DK"/>
        </w:rPr>
      </w:pPr>
    </w:p>
    <w:p w14:paraId="1B081370" w14:textId="77777777" w:rsidR="003563EF" w:rsidRDefault="00473235" w:rsidP="006D0605">
      <w:pPr>
        <w:pStyle w:val="a3"/>
        <w:widowControl/>
        <w:adjustRightInd w:val="0"/>
        <w:snapToGrid w:val="0"/>
        <w:rPr>
          <w:snapToGrid w:val="0"/>
          <w:lang w:val="da-DK"/>
        </w:rPr>
      </w:pPr>
      <w:r w:rsidRPr="001278B6">
        <w:rPr>
          <w:snapToGrid w:val="0"/>
          <w:lang w:val="da-DK"/>
        </w:rPr>
        <w:t>Spørg lægen, apotekspersonalet eller sygeplejersken til råds, før du tager nogen form for medicin.</w:t>
      </w:r>
    </w:p>
    <w:p w14:paraId="1FDE603E" w14:textId="77777777" w:rsidR="006E397E" w:rsidRPr="001278B6" w:rsidRDefault="006E397E" w:rsidP="001278B6">
      <w:pPr>
        <w:pStyle w:val="a3"/>
        <w:widowControl/>
        <w:adjustRightInd w:val="0"/>
        <w:snapToGrid w:val="0"/>
        <w:rPr>
          <w:snapToGrid w:val="0"/>
          <w:lang w:val="da-DK"/>
        </w:rPr>
      </w:pPr>
    </w:p>
    <w:p w14:paraId="311EF8F9" w14:textId="77777777" w:rsidR="003563EF" w:rsidRPr="00747393" w:rsidRDefault="00473235" w:rsidP="00747393">
      <w:pPr>
        <w:rPr>
          <w:b/>
          <w:bCs/>
          <w:snapToGrid w:val="0"/>
          <w:lang w:val="da-DK"/>
        </w:rPr>
      </w:pPr>
      <w:r w:rsidRPr="00747393">
        <w:rPr>
          <w:b/>
          <w:bCs/>
          <w:snapToGrid w:val="0"/>
          <w:lang w:val="da-DK"/>
        </w:rPr>
        <w:t>Trafik</w:t>
      </w:r>
      <w:r w:rsidR="004B3750" w:rsidRPr="00747393">
        <w:rPr>
          <w:b/>
          <w:bCs/>
          <w:snapToGrid w:val="0"/>
          <w:lang w:val="da-DK"/>
        </w:rPr>
        <w:noBreakHyphen/>
      </w:r>
      <w:r w:rsidRPr="00747393">
        <w:rPr>
          <w:b/>
          <w:bCs/>
          <w:snapToGrid w:val="0"/>
          <w:lang w:val="da-DK"/>
        </w:rPr>
        <w:t xml:space="preserve"> og arbejdssikkerhed</w:t>
      </w:r>
    </w:p>
    <w:p w14:paraId="0C42491E" w14:textId="590209C1" w:rsidR="003563EF" w:rsidRPr="001278B6" w:rsidRDefault="00473235" w:rsidP="001278B6">
      <w:pPr>
        <w:pStyle w:val="a3"/>
        <w:widowControl/>
        <w:adjustRightInd w:val="0"/>
        <w:snapToGrid w:val="0"/>
        <w:rPr>
          <w:snapToGrid w:val="0"/>
          <w:lang w:val="da-DK"/>
        </w:rPr>
      </w:pPr>
      <w:r w:rsidRPr="001278B6">
        <w:rPr>
          <w:snapToGrid w:val="0"/>
          <w:lang w:val="da-DK"/>
        </w:rPr>
        <w:t xml:space="preserve">Det er ikke påvist, at </w:t>
      </w:r>
      <w:r w:rsidR="00295FBB">
        <w:rPr>
          <w:noProof/>
          <w:color w:val="000000"/>
          <w:lang w:val="da-DK" w:eastAsia="ko-KR"/>
        </w:rPr>
        <w:t>Vegzelma</w:t>
      </w:r>
      <w:r w:rsidRPr="001278B6">
        <w:rPr>
          <w:snapToGrid w:val="0"/>
          <w:lang w:val="da-DK"/>
        </w:rPr>
        <w:t xml:space="preserve"> nedsætter din evne til at køre bil eller betjene maskiner.</w:t>
      </w:r>
    </w:p>
    <w:p w14:paraId="65FBC383" w14:textId="3E3D246E" w:rsidR="003563EF" w:rsidRPr="001278B6" w:rsidRDefault="00473235" w:rsidP="001278B6">
      <w:pPr>
        <w:pStyle w:val="a3"/>
        <w:widowControl/>
        <w:adjustRightInd w:val="0"/>
        <w:snapToGrid w:val="0"/>
        <w:rPr>
          <w:snapToGrid w:val="0"/>
          <w:lang w:val="da-DK"/>
        </w:rPr>
      </w:pPr>
      <w:r w:rsidRPr="001278B6">
        <w:rPr>
          <w:snapToGrid w:val="0"/>
          <w:lang w:val="da-DK"/>
        </w:rPr>
        <w:t xml:space="preserve">Alligevel er der rapporteret søvnighed og besvimelse ved anvendelse af </w:t>
      </w:r>
      <w:r w:rsidR="00295FBB">
        <w:rPr>
          <w:noProof/>
          <w:color w:val="000000"/>
          <w:lang w:val="da-DK" w:eastAsia="ko-KR"/>
        </w:rPr>
        <w:t>Vegzelma</w:t>
      </w:r>
      <w:r w:rsidRPr="001278B6">
        <w:rPr>
          <w:snapToGrid w:val="0"/>
          <w:lang w:val="da-DK"/>
        </w:rPr>
        <w:t>. Hvis du oplever symptomer, som påvirker dit syn eller din koncentrationsevne eller din reaktionsevne, skal du lade være med at køre bil og betjene maskiner, før symptomerne er forsvundet.</w:t>
      </w:r>
    </w:p>
    <w:p w14:paraId="06885A9A" w14:textId="77777777" w:rsidR="003563EF" w:rsidRPr="001278B6" w:rsidRDefault="003563EF" w:rsidP="001278B6">
      <w:pPr>
        <w:pStyle w:val="a3"/>
        <w:widowControl/>
        <w:adjustRightInd w:val="0"/>
        <w:snapToGrid w:val="0"/>
        <w:rPr>
          <w:snapToGrid w:val="0"/>
          <w:lang w:val="da-DK"/>
        </w:rPr>
      </w:pPr>
    </w:p>
    <w:p w14:paraId="38086989" w14:textId="4AAB5857" w:rsidR="003563EF" w:rsidRPr="00747393" w:rsidRDefault="00473235" w:rsidP="00747393">
      <w:pPr>
        <w:rPr>
          <w:b/>
          <w:bCs/>
          <w:snapToGrid w:val="0"/>
          <w:lang w:val="da-DK"/>
        </w:rPr>
      </w:pPr>
      <w:r w:rsidRPr="00747393">
        <w:rPr>
          <w:b/>
          <w:bCs/>
          <w:snapToGrid w:val="0"/>
          <w:lang w:val="da-DK"/>
        </w:rPr>
        <w:t xml:space="preserve">Vigtig information vedrørende hjælpestoffer i </w:t>
      </w:r>
      <w:r w:rsidR="00295FBB" w:rsidRPr="00747393">
        <w:rPr>
          <w:b/>
          <w:bCs/>
          <w:noProof/>
          <w:color w:val="000000"/>
          <w:lang w:val="da-DK" w:eastAsia="ko-KR"/>
        </w:rPr>
        <w:t>Vegzelma</w:t>
      </w:r>
    </w:p>
    <w:p w14:paraId="35C59153" w14:textId="77777777" w:rsidR="003563EF" w:rsidRDefault="00473235" w:rsidP="001278B6">
      <w:pPr>
        <w:pStyle w:val="a3"/>
        <w:widowControl/>
        <w:adjustRightInd w:val="0"/>
        <w:snapToGrid w:val="0"/>
        <w:rPr>
          <w:rFonts w:eastAsia="맑은 고딕"/>
          <w:snapToGrid w:val="0"/>
          <w:lang w:val="da-DK" w:eastAsia="ko-KR"/>
        </w:rPr>
      </w:pPr>
      <w:r w:rsidRPr="001278B6">
        <w:rPr>
          <w:snapToGrid w:val="0"/>
          <w:lang w:val="da-DK"/>
        </w:rPr>
        <w:t>Denne medicin indeholder mindre end 1 mmol natrium (23</w:t>
      </w:r>
      <w:r w:rsidR="00EC2040">
        <w:rPr>
          <w:snapToGrid w:val="0"/>
          <w:lang w:val="da-DK"/>
        </w:rPr>
        <w:t> mg</w:t>
      </w:r>
      <w:r w:rsidRPr="001278B6">
        <w:rPr>
          <w:snapToGrid w:val="0"/>
          <w:lang w:val="da-DK"/>
        </w:rPr>
        <w:t>) pr. hætteglas og betragtes derfor værende ”natriumfri”.</w:t>
      </w:r>
    </w:p>
    <w:p w14:paraId="6BB19B32" w14:textId="77777777" w:rsidR="001E0437" w:rsidRDefault="001E0437" w:rsidP="00EB72B4">
      <w:pPr>
        <w:pStyle w:val="a3"/>
        <w:widowControl/>
        <w:adjustRightInd w:val="0"/>
        <w:snapToGrid w:val="0"/>
        <w:rPr>
          <w:rFonts w:eastAsia="맑은 고딕"/>
          <w:snapToGrid w:val="0"/>
          <w:lang w:val="da-DK" w:eastAsia="ko-KR"/>
        </w:rPr>
      </w:pPr>
    </w:p>
    <w:p w14:paraId="56DFC2E7" w14:textId="5A4D89F0" w:rsidR="00EB72B4" w:rsidRPr="00BE39C3" w:rsidRDefault="00EB72B4" w:rsidP="00EB72B4">
      <w:pPr>
        <w:pStyle w:val="a3"/>
        <w:widowControl/>
        <w:adjustRightInd w:val="0"/>
        <w:snapToGrid w:val="0"/>
        <w:rPr>
          <w:snapToGrid w:val="0"/>
          <w:lang w:val="da-DK"/>
        </w:rPr>
      </w:pPr>
      <w:r w:rsidRPr="00BE39C3">
        <w:rPr>
          <w:rFonts w:eastAsia="맑은 고딕"/>
          <w:snapToGrid w:val="0"/>
          <w:lang w:val="da-DK" w:eastAsia="ko-KR"/>
        </w:rPr>
        <w:t>Dette lægemiddel indeholder 0,</w:t>
      </w:r>
      <w:r>
        <w:rPr>
          <w:rFonts w:eastAsia="맑은 고딕" w:hint="eastAsia"/>
          <w:snapToGrid w:val="0"/>
          <w:lang w:val="da-DK" w:eastAsia="ko-KR"/>
        </w:rPr>
        <w:t>4</w:t>
      </w:r>
      <w:r w:rsidRPr="00BE39C3">
        <w:rPr>
          <w:rFonts w:eastAsia="맑은 고딕"/>
          <w:snapToGrid w:val="0"/>
          <w:lang w:val="da-DK" w:eastAsia="ko-KR"/>
        </w:rPr>
        <w:t xml:space="preserve"> mg polysorbat </w:t>
      </w:r>
      <w:r>
        <w:rPr>
          <w:rFonts w:eastAsia="맑은 고딕" w:hint="eastAsia"/>
          <w:snapToGrid w:val="0"/>
          <w:lang w:val="da-DK" w:eastAsia="ko-KR"/>
        </w:rPr>
        <w:t xml:space="preserve">20 pr. ml. </w:t>
      </w:r>
      <w:r w:rsidRPr="00BE39C3">
        <w:rPr>
          <w:rFonts w:eastAsia="맑은 고딕"/>
          <w:snapToGrid w:val="0"/>
          <w:lang w:val="da-DK" w:eastAsia="ko-KR"/>
        </w:rPr>
        <w:t>Polysorbat kan forårsage allergiske reaktioner.</w:t>
      </w:r>
      <w:r>
        <w:rPr>
          <w:rFonts w:eastAsia="맑은 고딕" w:hint="eastAsia"/>
          <w:snapToGrid w:val="0"/>
          <w:lang w:val="da-DK" w:eastAsia="ko-KR"/>
        </w:rPr>
        <w:t xml:space="preserve"> </w:t>
      </w:r>
      <w:r w:rsidR="00123B74" w:rsidRPr="00455604">
        <w:rPr>
          <w:rFonts w:eastAsiaTheme="minorEastAsia"/>
          <w:lang w:val="fr-CA" w:eastAsia="ko-KR"/>
        </w:rPr>
        <w:t>Kontakt din læge, hvis du har nogen kendte allergier.</w:t>
      </w:r>
    </w:p>
    <w:p w14:paraId="7764EDD9" w14:textId="77777777" w:rsidR="003563EF" w:rsidRDefault="003563EF">
      <w:pPr>
        <w:pStyle w:val="a3"/>
        <w:widowControl/>
        <w:adjustRightInd w:val="0"/>
        <w:snapToGrid w:val="0"/>
        <w:rPr>
          <w:snapToGrid w:val="0"/>
          <w:lang w:val="da-DK"/>
        </w:rPr>
      </w:pPr>
    </w:p>
    <w:p w14:paraId="76058FB8" w14:textId="77777777" w:rsidR="00BE2B07" w:rsidRPr="001278B6" w:rsidRDefault="00BE2B07" w:rsidP="001278B6">
      <w:pPr>
        <w:pStyle w:val="a3"/>
        <w:widowControl/>
        <w:adjustRightInd w:val="0"/>
        <w:snapToGrid w:val="0"/>
        <w:rPr>
          <w:snapToGrid w:val="0"/>
          <w:lang w:val="da-DK"/>
        </w:rPr>
      </w:pPr>
    </w:p>
    <w:p w14:paraId="4E6789A4" w14:textId="2A68ED47" w:rsidR="00BE2B07" w:rsidRDefault="00473235" w:rsidP="001278B6">
      <w:pPr>
        <w:pStyle w:val="2"/>
        <w:keepNext/>
        <w:keepLines/>
        <w:widowControl/>
        <w:numPr>
          <w:ilvl w:val="0"/>
          <w:numId w:val="2"/>
        </w:numPr>
        <w:adjustRightInd w:val="0"/>
        <w:snapToGrid w:val="0"/>
        <w:ind w:left="562" w:hanging="562"/>
        <w:rPr>
          <w:snapToGrid w:val="0"/>
          <w:lang w:val="da-DK"/>
        </w:rPr>
      </w:pPr>
      <w:r w:rsidRPr="001278B6">
        <w:rPr>
          <w:snapToGrid w:val="0"/>
          <w:lang w:val="da-DK"/>
        </w:rPr>
        <w:t xml:space="preserve">Sådan skal du bruge </w:t>
      </w:r>
      <w:r w:rsidR="00295FBB">
        <w:rPr>
          <w:noProof/>
          <w:color w:val="000000"/>
          <w:lang w:val="da-DK" w:eastAsia="ko-KR"/>
        </w:rPr>
        <w:t>Vegzelma</w:t>
      </w:r>
      <w:r w:rsidRPr="001278B6">
        <w:rPr>
          <w:snapToGrid w:val="0"/>
          <w:lang w:val="da-DK"/>
        </w:rPr>
        <w:t xml:space="preserve"> </w:t>
      </w:r>
    </w:p>
    <w:p w14:paraId="751845E5" w14:textId="77777777" w:rsidR="00BE2B07" w:rsidRDefault="00BE2B07" w:rsidP="00747393">
      <w:pPr>
        <w:rPr>
          <w:snapToGrid w:val="0"/>
          <w:lang w:val="da-DK"/>
        </w:rPr>
      </w:pPr>
    </w:p>
    <w:p w14:paraId="3F3E62EB" w14:textId="77777777" w:rsidR="003563EF" w:rsidRPr="00747393" w:rsidRDefault="00473235" w:rsidP="00747393">
      <w:pPr>
        <w:rPr>
          <w:b/>
          <w:bCs/>
          <w:snapToGrid w:val="0"/>
          <w:lang w:val="da-DK"/>
        </w:rPr>
      </w:pPr>
      <w:r w:rsidRPr="00747393">
        <w:rPr>
          <w:b/>
          <w:bCs/>
          <w:snapToGrid w:val="0"/>
          <w:lang w:val="da-DK"/>
        </w:rPr>
        <w:t>Dosering og indgivelseshyppighed</w:t>
      </w:r>
    </w:p>
    <w:p w14:paraId="5765AD9B" w14:textId="77777777" w:rsidR="002F574B" w:rsidRDefault="002F574B" w:rsidP="001278B6">
      <w:pPr>
        <w:pStyle w:val="a3"/>
        <w:widowControl/>
        <w:adjustRightInd w:val="0"/>
        <w:snapToGrid w:val="0"/>
        <w:rPr>
          <w:snapToGrid w:val="0"/>
          <w:lang w:val="da-DK"/>
        </w:rPr>
      </w:pPr>
    </w:p>
    <w:p w14:paraId="72C20426" w14:textId="0A250948" w:rsidR="003563EF" w:rsidRPr="001278B6" w:rsidRDefault="00473235" w:rsidP="001278B6">
      <w:pPr>
        <w:pStyle w:val="a3"/>
        <w:widowControl/>
        <w:adjustRightInd w:val="0"/>
        <w:snapToGrid w:val="0"/>
        <w:rPr>
          <w:snapToGrid w:val="0"/>
          <w:lang w:val="da-DK"/>
        </w:rPr>
      </w:pPr>
      <w:r w:rsidRPr="001278B6">
        <w:rPr>
          <w:snapToGrid w:val="0"/>
          <w:lang w:val="da-DK"/>
        </w:rPr>
        <w:t xml:space="preserve">Dosis af </w:t>
      </w:r>
      <w:r w:rsidR="00295FBB">
        <w:rPr>
          <w:noProof/>
          <w:color w:val="000000"/>
          <w:lang w:val="da-DK" w:eastAsia="ko-KR"/>
        </w:rPr>
        <w:t>Vegzelma</w:t>
      </w:r>
      <w:r w:rsidRPr="001278B6">
        <w:rPr>
          <w:snapToGrid w:val="0"/>
          <w:lang w:val="da-DK"/>
        </w:rPr>
        <w:t xml:space="preserve"> afhænger af din legemsvægt og af den type kræft, der skal behandles. Den anbefalede dosis er 5</w:t>
      </w:r>
      <w:r w:rsidR="00EC2040">
        <w:rPr>
          <w:snapToGrid w:val="0"/>
          <w:lang w:val="da-DK"/>
        </w:rPr>
        <w:t> mg</w:t>
      </w:r>
      <w:r w:rsidRPr="001278B6">
        <w:rPr>
          <w:snapToGrid w:val="0"/>
          <w:lang w:val="da-DK"/>
        </w:rPr>
        <w:t>, 7,5</w:t>
      </w:r>
      <w:r w:rsidR="00EC2040">
        <w:rPr>
          <w:snapToGrid w:val="0"/>
          <w:lang w:val="da-DK"/>
        </w:rPr>
        <w:t> mg</w:t>
      </w:r>
      <w:r w:rsidRPr="001278B6">
        <w:rPr>
          <w:snapToGrid w:val="0"/>
          <w:lang w:val="da-DK"/>
        </w:rPr>
        <w:t>, 10</w:t>
      </w:r>
      <w:r w:rsidR="00EC2040">
        <w:rPr>
          <w:snapToGrid w:val="0"/>
          <w:lang w:val="da-DK"/>
        </w:rPr>
        <w:t> mg</w:t>
      </w:r>
      <w:r w:rsidRPr="001278B6">
        <w:rPr>
          <w:snapToGrid w:val="0"/>
          <w:lang w:val="da-DK"/>
        </w:rPr>
        <w:t xml:space="preserve"> eller 15</w:t>
      </w:r>
      <w:r w:rsidR="00EC2040">
        <w:rPr>
          <w:snapToGrid w:val="0"/>
          <w:lang w:val="da-DK"/>
        </w:rPr>
        <w:t> mg</w:t>
      </w:r>
      <w:r w:rsidRPr="001278B6">
        <w:rPr>
          <w:snapToGrid w:val="0"/>
          <w:lang w:val="da-DK"/>
        </w:rPr>
        <w:t xml:space="preserve"> pr. kilo legemsvægt. Din læge vil ordinere den dosis</w:t>
      </w:r>
      <w:r w:rsidR="00697ACB">
        <w:rPr>
          <w:snapToGrid w:val="0"/>
          <w:lang w:val="da-DK"/>
        </w:rPr>
        <w:t xml:space="preserve"> </w:t>
      </w:r>
      <w:r w:rsidR="00295FBB">
        <w:rPr>
          <w:noProof/>
          <w:color w:val="000000"/>
          <w:lang w:val="da-DK" w:eastAsia="ko-KR"/>
        </w:rPr>
        <w:t>Vegzelma</w:t>
      </w:r>
      <w:r w:rsidRPr="001278B6">
        <w:rPr>
          <w:snapToGrid w:val="0"/>
          <w:lang w:val="da-DK"/>
        </w:rPr>
        <w:t xml:space="preserve">, som passer til dig. Du vil blive behandlet med </w:t>
      </w:r>
      <w:r w:rsidR="00295FBB">
        <w:rPr>
          <w:noProof/>
          <w:color w:val="000000"/>
          <w:lang w:val="da-DK" w:eastAsia="ko-KR"/>
        </w:rPr>
        <w:t>Vegzelma</w:t>
      </w:r>
      <w:r w:rsidRPr="001278B6">
        <w:rPr>
          <w:snapToGrid w:val="0"/>
          <w:lang w:val="da-DK"/>
        </w:rPr>
        <w:t xml:space="preserve"> én gang hver 2. eller 3. uge. Antallet af infusioner, som du skal have, afhænger af, hvordan du reagerer på behandlingen. Du skal fortsætte med </w:t>
      </w:r>
      <w:r w:rsidR="00295FBB">
        <w:rPr>
          <w:noProof/>
          <w:color w:val="000000"/>
          <w:lang w:val="da-DK" w:eastAsia="ko-KR"/>
        </w:rPr>
        <w:t>Vegzelma</w:t>
      </w:r>
      <w:r w:rsidRPr="001278B6">
        <w:rPr>
          <w:snapToGrid w:val="0"/>
          <w:lang w:val="da-DK"/>
        </w:rPr>
        <w:t xml:space="preserve">, indtil </w:t>
      </w:r>
      <w:r w:rsidR="00295FBB">
        <w:rPr>
          <w:noProof/>
          <w:color w:val="000000"/>
          <w:lang w:val="da-DK" w:eastAsia="ko-KR"/>
        </w:rPr>
        <w:t>Vegzelma</w:t>
      </w:r>
      <w:r w:rsidRPr="001278B6">
        <w:rPr>
          <w:snapToGrid w:val="0"/>
          <w:lang w:val="da-DK"/>
        </w:rPr>
        <w:t xml:space="preserve"> ikke længere hindrer tumoren i at vokse. Din læge vil diskutere det med dig.</w:t>
      </w:r>
    </w:p>
    <w:p w14:paraId="182614C7" w14:textId="77777777" w:rsidR="003563EF" w:rsidRPr="001278B6" w:rsidRDefault="003563EF" w:rsidP="001278B6">
      <w:pPr>
        <w:pStyle w:val="a3"/>
        <w:widowControl/>
        <w:adjustRightInd w:val="0"/>
        <w:snapToGrid w:val="0"/>
        <w:rPr>
          <w:snapToGrid w:val="0"/>
          <w:lang w:val="da-DK"/>
        </w:rPr>
      </w:pPr>
    </w:p>
    <w:p w14:paraId="07F7CA39" w14:textId="77777777" w:rsidR="003563EF" w:rsidRPr="00747393" w:rsidRDefault="00473235" w:rsidP="00747393">
      <w:pPr>
        <w:rPr>
          <w:b/>
          <w:bCs/>
          <w:snapToGrid w:val="0"/>
          <w:lang w:val="da-DK"/>
        </w:rPr>
      </w:pPr>
      <w:r w:rsidRPr="00747393">
        <w:rPr>
          <w:b/>
          <w:bCs/>
          <w:snapToGrid w:val="0"/>
          <w:lang w:val="da-DK"/>
        </w:rPr>
        <w:t>Indgivelsesmetode og indgivelsesvej</w:t>
      </w:r>
    </w:p>
    <w:p w14:paraId="48159B76" w14:textId="77777777" w:rsidR="002F574B" w:rsidRDefault="002F574B" w:rsidP="001278B6">
      <w:pPr>
        <w:pStyle w:val="a3"/>
        <w:widowControl/>
        <w:adjustRightInd w:val="0"/>
        <w:snapToGrid w:val="0"/>
        <w:rPr>
          <w:snapToGrid w:val="0"/>
          <w:lang w:val="da-DK"/>
        </w:rPr>
      </w:pPr>
    </w:p>
    <w:p w14:paraId="7FF9E4E4" w14:textId="52249B01"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er et koncentrat til opløsning til infusion. Afhængig af den dosis, som er foreskrevet til dig, vil en del af indholdet i </w:t>
      </w:r>
      <w:r>
        <w:rPr>
          <w:noProof/>
          <w:color w:val="000000"/>
          <w:lang w:val="da-DK" w:eastAsia="ko-KR"/>
        </w:rPr>
        <w:t>Vegzelma</w:t>
      </w:r>
      <w:r w:rsidR="004B3750">
        <w:rPr>
          <w:snapToGrid w:val="0"/>
          <w:lang w:val="da-DK"/>
        </w:rPr>
        <w:noBreakHyphen/>
      </w:r>
      <w:r w:rsidR="00473235" w:rsidRPr="001278B6">
        <w:rPr>
          <w:snapToGrid w:val="0"/>
          <w:lang w:val="da-DK"/>
        </w:rPr>
        <w:t xml:space="preserve">hætteglasset eller hele indholdet blive fortyndet med natriumchloridopløsning (saltvandsopløsning) før anvendelsen. Du vil få den fortyndede </w:t>
      </w:r>
      <w:r>
        <w:rPr>
          <w:noProof/>
          <w:color w:val="000000"/>
          <w:lang w:val="da-DK" w:eastAsia="ko-KR"/>
        </w:rPr>
        <w:t>Vegzelma</w:t>
      </w:r>
      <w:r w:rsidR="004B3750">
        <w:rPr>
          <w:snapToGrid w:val="0"/>
          <w:lang w:val="da-DK"/>
        </w:rPr>
        <w:noBreakHyphen/>
      </w:r>
      <w:r w:rsidR="00473235" w:rsidRPr="001278B6">
        <w:rPr>
          <w:snapToGrid w:val="0"/>
          <w:lang w:val="da-DK"/>
        </w:rPr>
        <w:t>opløsning af en læge eller sygeplejerske ved intravenøs infusion (et drop i din vene). Den første infusion vil vare 90 minutter. Hvis den tåles godt, vil den næste infusion vare 60</w:t>
      </w:r>
      <w:r w:rsidR="006E397E">
        <w:rPr>
          <w:snapToGrid w:val="0"/>
          <w:lang w:val="da-DK"/>
        </w:rPr>
        <w:t> </w:t>
      </w:r>
      <w:r w:rsidR="00473235" w:rsidRPr="001278B6">
        <w:rPr>
          <w:snapToGrid w:val="0"/>
          <w:lang w:val="da-DK"/>
        </w:rPr>
        <w:t>minutter. Efterfølgende infusioner vil måske kun vare 30 minutter.</w:t>
      </w:r>
    </w:p>
    <w:p w14:paraId="30CEF5AA" w14:textId="77777777" w:rsidR="003563EF" w:rsidRPr="001278B6" w:rsidRDefault="003563EF" w:rsidP="001278B6">
      <w:pPr>
        <w:pStyle w:val="a3"/>
        <w:widowControl/>
        <w:adjustRightInd w:val="0"/>
        <w:snapToGrid w:val="0"/>
        <w:rPr>
          <w:snapToGrid w:val="0"/>
          <w:lang w:val="da-DK"/>
        </w:rPr>
      </w:pPr>
    </w:p>
    <w:p w14:paraId="0EB357E6" w14:textId="615B4490" w:rsidR="003563EF" w:rsidRPr="00747393" w:rsidRDefault="00473235" w:rsidP="00747393">
      <w:pPr>
        <w:rPr>
          <w:b/>
          <w:bCs/>
          <w:snapToGrid w:val="0"/>
          <w:lang w:val="da-DK"/>
        </w:rPr>
      </w:pPr>
      <w:r w:rsidRPr="00747393">
        <w:rPr>
          <w:b/>
          <w:bCs/>
          <w:snapToGrid w:val="0"/>
          <w:lang w:val="da-DK"/>
        </w:rPr>
        <w:t xml:space="preserve">Behandlingen med </w:t>
      </w:r>
      <w:r w:rsidR="00295FBB" w:rsidRPr="00747393">
        <w:rPr>
          <w:b/>
          <w:bCs/>
          <w:noProof/>
          <w:color w:val="000000"/>
          <w:lang w:val="da-DK" w:eastAsia="ko-KR"/>
        </w:rPr>
        <w:t>Vegzelma</w:t>
      </w:r>
      <w:r w:rsidRPr="00747393">
        <w:rPr>
          <w:b/>
          <w:bCs/>
          <w:snapToGrid w:val="0"/>
          <w:lang w:val="da-DK"/>
        </w:rPr>
        <w:t xml:space="preserve"> skal midlertidigt afbrydes</w:t>
      </w:r>
    </w:p>
    <w:p w14:paraId="113FBD91" w14:textId="77777777" w:rsidR="002F574B" w:rsidRPr="001278B6" w:rsidRDefault="002F574B" w:rsidP="00747393">
      <w:pPr>
        <w:rPr>
          <w:snapToGrid w:val="0"/>
          <w:lang w:val="da-DK"/>
        </w:rPr>
      </w:pPr>
    </w:p>
    <w:p w14:paraId="55582131" w14:textId="77777777" w:rsidR="003563EF" w:rsidRPr="001278B6" w:rsidRDefault="00473235" w:rsidP="001278B6">
      <w:pPr>
        <w:pStyle w:val="Bullet1"/>
        <w:widowControl/>
        <w:rPr>
          <w:lang w:val="da-DK"/>
        </w:rPr>
      </w:pPr>
      <w:r w:rsidRPr="001278B6">
        <w:rPr>
          <w:lang w:val="da-DK"/>
        </w:rPr>
        <w:t>hvis du får svært forhøjet blodtryk, der kræver behandling med blodtryksmedicin,</w:t>
      </w:r>
    </w:p>
    <w:p w14:paraId="30FE3383" w14:textId="77777777" w:rsidR="003563EF" w:rsidRPr="001278B6" w:rsidRDefault="00473235" w:rsidP="001278B6">
      <w:pPr>
        <w:pStyle w:val="Bullet1"/>
        <w:widowControl/>
        <w:rPr>
          <w:lang w:val="da-DK"/>
        </w:rPr>
      </w:pPr>
      <w:r w:rsidRPr="001278B6">
        <w:rPr>
          <w:lang w:val="da-DK"/>
        </w:rPr>
        <w:t>hvis du har problemer med sårheling efter en operation,</w:t>
      </w:r>
    </w:p>
    <w:p w14:paraId="230AF2D9" w14:textId="77777777" w:rsidR="003563EF" w:rsidRPr="001278B6" w:rsidRDefault="00473235" w:rsidP="001278B6">
      <w:pPr>
        <w:pStyle w:val="Bullet1"/>
        <w:widowControl/>
        <w:rPr>
          <w:lang w:val="da-DK"/>
        </w:rPr>
      </w:pPr>
      <w:r w:rsidRPr="001278B6">
        <w:rPr>
          <w:lang w:val="da-DK"/>
        </w:rPr>
        <w:t>hvis du skal opereres.</w:t>
      </w:r>
    </w:p>
    <w:p w14:paraId="76132288" w14:textId="77777777" w:rsidR="003563EF" w:rsidRPr="001278B6" w:rsidRDefault="003563EF" w:rsidP="001278B6">
      <w:pPr>
        <w:pStyle w:val="a3"/>
        <w:widowControl/>
        <w:adjustRightInd w:val="0"/>
        <w:snapToGrid w:val="0"/>
        <w:rPr>
          <w:snapToGrid w:val="0"/>
          <w:lang w:val="da-DK"/>
        </w:rPr>
      </w:pPr>
    </w:p>
    <w:p w14:paraId="5720A1FB" w14:textId="056221EE" w:rsidR="003563EF" w:rsidRPr="00747393" w:rsidRDefault="00473235" w:rsidP="00747393">
      <w:pPr>
        <w:rPr>
          <w:b/>
          <w:bCs/>
          <w:snapToGrid w:val="0"/>
          <w:lang w:val="da-DK"/>
        </w:rPr>
      </w:pPr>
      <w:r w:rsidRPr="00747393">
        <w:rPr>
          <w:b/>
          <w:bCs/>
          <w:snapToGrid w:val="0"/>
          <w:lang w:val="da-DK"/>
        </w:rPr>
        <w:t xml:space="preserve">Behandlingen med </w:t>
      </w:r>
      <w:r w:rsidR="00295FBB" w:rsidRPr="00747393">
        <w:rPr>
          <w:b/>
          <w:bCs/>
          <w:noProof/>
          <w:color w:val="000000"/>
          <w:lang w:val="da-DK" w:eastAsia="ko-KR"/>
        </w:rPr>
        <w:t>Vegzelma</w:t>
      </w:r>
      <w:r w:rsidRPr="00747393">
        <w:rPr>
          <w:b/>
          <w:bCs/>
          <w:snapToGrid w:val="0"/>
          <w:lang w:val="da-DK"/>
        </w:rPr>
        <w:t xml:space="preserve"> skal stoppes permanent, hvis du får</w:t>
      </w:r>
    </w:p>
    <w:p w14:paraId="19F30DA7" w14:textId="77777777" w:rsidR="002F574B" w:rsidRPr="001278B6" w:rsidRDefault="002F574B" w:rsidP="00747393">
      <w:pPr>
        <w:rPr>
          <w:snapToGrid w:val="0"/>
          <w:lang w:val="da-DK"/>
        </w:rPr>
      </w:pPr>
    </w:p>
    <w:p w14:paraId="1C5F6FA0" w14:textId="77777777" w:rsidR="003563EF" w:rsidRPr="001278B6" w:rsidRDefault="00473235" w:rsidP="001278B6">
      <w:pPr>
        <w:pStyle w:val="Bullet1"/>
        <w:widowControl/>
        <w:rPr>
          <w:lang w:val="da-DK"/>
        </w:rPr>
      </w:pPr>
      <w:r w:rsidRPr="001278B6">
        <w:rPr>
          <w:lang w:val="da-DK"/>
        </w:rPr>
        <w:t>svært forhøjet blodtryk, som ikke kan kontrolleres med blodtrykssænkende medicin, eller hvis blodtrykket pludseligt stiger alvorligt,</w:t>
      </w:r>
    </w:p>
    <w:p w14:paraId="144A0A32" w14:textId="77777777" w:rsidR="003563EF" w:rsidRPr="001278B6" w:rsidRDefault="00473235" w:rsidP="001278B6">
      <w:pPr>
        <w:pStyle w:val="Bullet1"/>
        <w:widowControl/>
        <w:rPr>
          <w:lang w:val="da-DK"/>
        </w:rPr>
      </w:pPr>
      <w:r w:rsidRPr="001278B6">
        <w:rPr>
          <w:lang w:val="da-DK"/>
        </w:rPr>
        <w:t>protein i urinen, efterfulgt af hævelser på kroppen,</w:t>
      </w:r>
    </w:p>
    <w:p w14:paraId="7775D50F" w14:textId="77777777" w:rsidR="003563EF" w:rsidRPr="001278B6" w:rsidRDefault="00473235" w:rsidP="001278B6">
      <w:pPr>
        <w:pStyle w:val="Bullet1"/>
        <w:widowControl/>
        <w:rPr>
          <w:lang w:val="da-DK"/>
        </w:rPr>
      </w:pPr>
      <w:r w:rsidRPr="001278B6">
        <w:rPr>
          <w:lang w:val="da-DK"/>
        </w:rPr>
        <w:t>hul i tarmvæggen,</w:t>
      </w:r>
    </w:p>
    <w:p w14:paraId="7E7BA9CA" w14:textId="77777777" w:rsidR="003563EF" w:rsidRPr="001278B6" w:rsidRDefault="00473235" w:rsidP="001278B6">
      <w:pPr>
        <w:pStyle w:val="Bullet1"/>
        <w:widowControl/>
        <w:rPr>
          <w:lang w:val="da-DK"/>
        </w:rPr>
      </w:pPr>
      <w:r w:rsidRPr="001278B6">
        <w:rPr>
          <w:lang w:val="da-DK"/>
        </w:rPr>
        <w:t>en abnorm, rørformet forbindelse eller passage mellem luftrøret og spiserøret, mellem indre organer og huden, mellem skeden og et eller andet sted på tarmen eller mellem andre væv, som ikke normalt er forbundet (fistel), og som lægen vurderer er alvorlig,</w:t>
      </w:r>
    </w:p>
    <w:p w14:paraId="692DA8A3" w14:textId="77777777" w:rsidR="003563EF" w:rsidRPr="001278B6" w:rsidRDefault="00473235" w:rsidP="001278B6">
      <w:pPr>
        <w:pStyle w:val="Bullet1"/>
        <w:widowControl/>
        <w:rPr>
          <w:lang w:val="da-DK"/>
        </w:rPr>
      </w:pPr>
      <w:r w:rsidRPr="001278B6">
        <w:rPr>
          <w:lang w:val="da-DK"/>
        </w:rPr>
        <w:t>alvorlige infektioner i huden eller i de dybereliggende lag under huden,</w:t>
      </w:r>
    </w:p>
    <w:p w14:paraId="17AB519B" w14:textId="77777777" w:rsidR="003563EF" w:rsidRPr="001278B6" w:rsidRDefault="00473235" w:rsidP="001278B6">
      <w:pPr>
        <w:pStyle w:val="Bullet1"/>
        <w:widowControl/>
        <w:rPr>
          <w:lang w:val="da-DK"/>
        </w:rPr>
      </w:pPr>
      <w:r w:rsidRPr="001278B6">
        <w:rPr>
          <w:lang w:val="da-DK"/>
        </w:rPr>
        <w:t>en blodprop i arterierne,</w:t>
      </w:r>
    </w:p>
    <w:p w14:paraId="2266595D" w14:textId="77777777" w:rsidR="003563EF" w:rsidRPr="001278B6" w:rsidRDefault="00473235" w:rsidP="001278B6">
      <w:pPr>
        <w:pStyle w:val="Bullet1"/>
        <w:widowControl/>
        <w:rPr>
          <w:lang w:val="da-DK"/>
        </w:rPr>
      </w:pPr>
      <w:r w:rsidRPr="001278B6">
        <w:rPr>
          <w:lang w:val="da-DK"/>
        </w:rPr>
        <w:t>en blodprop i lungerne,</w:t>
      </w:r>
    </w:p>
    <w:p w14:paraId="4B7F0526" w14:textId="77777777" w:rsidR="003563EF" w:rsidRPr="001278B6" w:rsidRDefault="00473235" w:rsidP="001278B6">
      <w:pPr>
        <w:pStyle w:val="Bullet1"/>
        <w:widowControl/>
        <w:rPr>
          <w:lang w:val="da-DK"/>
        </w:rPr>
      </w:pPr>
      <w:r w:rsidRPr="001278B6">
        <w:rPr>
          <w:lang w:val="da-DK"/>
        </w:rPr>
        <w:t>svær blødning.</w:t>
      </w:r>
    </w:p>
    <w:p w14:paraId="62F55DC4" w14:textId="77777777" w:rsidR="003563EF" w:rsidRPr="001278B6" w:rsidRDefault="003563EF" w:rsidP="001278B6">
      <w:pPr>
        <w:pStyle w:val="a3"/>
        <w:widowControl/>
        <w:adjustRightInd w:val="0"/>
        <w:snapToGrid w:val="0"/>
        <w:rPr>
          <w:snapToGrid w:val="0"/>
          <w:lang w:val="da-DK"/>
        </w:rPr>
      </w:pPr>
    </w:p>
    <w:p w14:paraId="7A1B15AC" w14:textId="20BC643B" w:rsidR="003563EF" w:rsidRPr="00747393" w:rsidRDefault="00473235" w:rsidP="00747393">
      <w:pPr>
        <w:rPr>
          <w:b/>
          <w:bCs/>
          <w:noProof/>
          <w:color w:val="000000"/>
          <w:lang w:val="da-DK" w:eastAsia="ko-KR"/>
        </w:rPr>
      </w:pPr>
      <w:r w:rsidRPr="00747393">
        <w:rPr>
          <w:b/>
          <w:bCs/>
          <w:snapToGrid w:val="0"/>
          <w:lang w:val="da-DK"/>
        </w:rPr>
        <w:t xml:space="preserve">Hvis du har fået for meget </w:t>
      </w:r>
      <w:r w:rsidR="00295FBB" w:rsidRPr="00747393">
        <w:rPr>
          <w:b/>
          <w:bCs/>
          <w:noProof/>
          <w:color w:val="000000"/>
          <w:lang w:val="da-DK" w:eastAsia="ko-KR"/>
        </w:rPr>
        <w:t>Vegzelma</w:t>
      </w:r>
    </w:p>
    <w:p w14:paraId="7C1B4FC8" w14:textId="77777777" w:rsidR="002F574B" w:rsidRPr="001278B6" w:rsidRDefault="002F574B" w:rsidP="00747393">
      <w:pPr>
        <w:rPr>
          <w:snapToGrid w:val="0"/>
          <w:lang w:val="da-DK"/>
        </w:rPr>
      </w:pPr>
    </w:p>
    <w:p w14:paraId="3ED0A5DD" w14:textId="77777777" w:rsidR="003563EF" w:rsidRPr="001278B6" w:rsidRDefault="00473235" w:rsidP="001278B6">
      <w:pPr>
        <w:pStyle w:val="Bullet1"/>
        <w:widowControl/>
        <w:rPr>
          <w:lang w:val="da-DK"/>
        </w:rPr>
      </w:pPr>
      <w:r w:rsidRPr="001278B6">
        <w:rPr>
          <w:lang w:val="da-DK"/>
        </w:rPr>
        <w:t>Du kan få svær migræne. Hvis det sker, skal du straks tale med din læge, apotekspersonalet eller sygeplejersken herom.</w:t>
      </w:r>
    </w:p>
    <w:p w14:paraId="6577F303" w14:textId="77777777" w:rsidR="003563EF" w:rsidRPr="001278B6" w:rsidRDefault="003563EF" w:rsidP="001278B6">
      <w:pPr>
        <w:pStyle w:val="a3"/>
        <w:widowControl/>
        <w:adjustRightInd w:val="0"/>
        <w:snapToGrid w:val="0"/>
        <w:rPr>
          <w:snapToGrid w:val="0"/>
          <w:lang w:val="da-DK"/>
        </w:rPr>
      </w:pPr>
    </w:p>
    <w:p w14:paraId="45B2B13A" w14:textId="765DEAD2" w:rsidR="003563EF" w:rsidRPr="00747393" w:rsidRDefault="00473235" w:rsidP="00747393">
      <w:pPr>
        <w:rPr>
          <w:b/>
          <w:bCs/>
          <w:snapToGrid w:val="0"/>
          <w:lang w:val="da-DK"/>
        </w:rPr>
      </w:pPr>
      <w:r w:rsidRPr="00747393">
        <w:rPr>
          <w:b/>
          <w:bCs/>
          <w:snapToGrid w:val="0"/>
          <w:lang w:val="da-DK"/>
        </w:rPr>
        <w:t xml:space="preserve">Hvis en </w:t>
      </w:r>
      <w:r w:rsidR="00295FBB" w:rsidRPr="00747393">
        <w:rPr>
          <w:b/>
          <w:bCs/>
          <w:noProof/>
          <w:color w:val="000000"/>
          <w:lang w:val="da-DK" w:eastAsia="ko-KR"/>
        </w:rPr>
        <w:t>Vegzelma</w:t>
      </w:r>
      <w:r w:rsidR="004B3750" w:rsidRPr="00747393">
        <w:rPr>
          <w:b/>
          <w:bCs/>
          <w:snapToGrid w:val="0"/>
          <w:lang w:val="da-DK"/>
        </w:rPr>
        <w:noBreakHyphen/>
      </w:r>
      <w:r w:rsidRPr="00747393">
        <w:rPr>
          <w:b/>
          <w:bCs/>
          <w:snapToGrid w:val="0"/>
          <w:lang w:val="da-DK"/>
        </w:rPr>
        <w:t>dosis glemmes</w:t>
      </w:r>
    </w:p>
    <w:p w14:paraId="7345D090" w14:textId="77777777" w:rsidR="002F574B" w:rsidRPr="001278B6" w:rsidRDefault="002F574B" w:rsidP="00747393">
      <w:pPr>
        <w:rPr>
          <w:snapToGrid w:val="0"/>
          <w:lang w:val="da-DK"/>
        </w:rPr>
      </w:pPr>
    </w:p>
    <w:p w14:paraId="585F23FD" w14:textId="0C066DC2" w:rsidR="003563EF" w:rsidRPr="001278B6" w:rsidRDefault="00473235" w:rsidP="001278B6">
      <w:pPr>
        <w:pStyle w:val="Bullet1"/>
        <w:widowControl/>
        <w:rPr>
          <w:lang w:val="da-DK"/>
        </w:rPr>
      </w:pPr>
      <w:r w:rsidRPr="001278B6">
        <w:rPr>
          <w:lang w:val="da-DK"/>
        </w:rPr>
        <w:t xml:space="preserve">Din læge beslutter, hvornår du skal have den næste </w:t>
      </w:r>
      <w:r w:rsidR="00295FBB">
        <w:rPr>
          <w:noProof/>
          <w:color w:val="000000"/>
          <w:lang w:val="da-DK" w:eastAsia="ko-KR"/>
        </w:rPr>
        <w:t>Vegzelma</w:t>
      </w:r>
      <w:r w:rsidR="004B3750">
        <w:rPr>
          <w:lang w:val="da-DK"/>
        </w:rPr>
        <w:noBreakHyphen/>
      </w:r>
      <w:r w:rsidRPr="001278B6">
        <w:rPr>
          <w:lang w:val="da-DK"/>
        </w:rPr>
        <w:t>dosis. Du bør tale med din læge herom.</w:t>
      </w:r>
    </w:p>
    <w:p w14:paraId="54F48E87" w14:textId="77777777" w:rsidR="003563EF" w:rsidRPr="001278B6" w:rsidRDefault="003563EF" w:rsidP="001278B6">
      <w:pPr>
        <w:pStyle w:val="a3"/>
        <w:widowControl/>
        <w:adjustRightInd w:val="0"/>
        <w:snapToGrid w:val="0"/>
        <w:rPr>
          <w:snapToGrid w:val="0"/>
          <w:lang w:val="da-DK"/>
        </w:rPr>
      </w:pPr>
    </w:p>
    <w:p w14:paraId="450CC748" w14:textId="6DAD5B81" w:rsidR="003563EF" w:rsidRPr="00747393" w:rsidRDefault="00473235" w:rsidP="00747393">
      <w:pPr>
        <w:rPr>
          <w:b/>
          <w:bCs/>
          <w:noProof/>
          <w:color w:val="000000"/>
          <w:lang w:val="da-DK" w:eastAsia="ko-KR"/>
        </w:rPr>
      </w:pPr>
      <w:r w:rsidRPr="00747393">
        <w:rPr>
          <w:b/>
          <w:bCs/>
          <w:snapToGrid w:val="0"/>
          <w:lang w:val="da-DK"/>
        </w:rPr>
        <w:t xml:space="preserve">Hvis du holder op med at få </w:t>
      </w:r>
      <w:r w:rsidR="00295FBB" w:rsidRPr="00747393">
        <w:rPr>
          <w:b/>
          <w:bCs/>
          <w:noProof/>
          <w:color w:val="000000"/>
          <w:lang w:val="da-DK" w:eastAsia="ko-KR"/>
        </w:rPr>
        <w:t>Vegzelma</w:t>
      </w:r>
    </w:p>
    <w:p w14:paraId="1645E0C3" w14:textId="77777777" w:rsidR="002F574B" w:rsidRPr="001278B6" w:rsidRDefault="002F574B" w:rsidP="00747393">
      <w:pPr>
        <w:rPr>
          <w:snapToGrid w:val="0"/>
          <w:lang w:val="da-DK"/>
        </w:rPr>
      </w:pPr>
    </w:p>
    <w:p w14:paraId="11CC56E2" w14:textId="3D73377B" w:rsidR="003563EF" w:rsidRPr="001278B6" w:rsidRDefault="00473235" w:rsidP="001278B6">
      <w:pPr>
        <w:pStyle w:val="a3"/>
        <w:widowControl/>
        <w:adjustRightInd w:val="0"/>
        <w:snapToGrid w:val="0"/>
        <w:rPr>
          <w:snapToGrid w:val="0"/>
          <w:lang w:val="da-DK"/>
        </w:rPr>
      </w:pPr>
      <w:r w:rsidRPr="001278B6">
        <w:rPr>
          <w:snapToGrid w:val="0"/>
          <w:lang w:val="da-DK"/>
        </w:rPr>
        <w:t xml:space="preserve">Hvis behandlingen med </w:t>
      </w:r>
      <w:r w:rsidR="00295FBB">
        <w:rPr>
          <w:noProof/>
          <w:color w:val="000000"/>
          <w:lang w:val="da-DK" w:eastAsia="ko-KR"/>
        </w:rPr>
        <w:t>Vegzelma</w:t>
      </w:r>
      <w:r w:rsidRPr="001278B6">
        <w:rPr>
          <w:snapToGrid w:val="0"/>
          <w:lang w:val="da-DK"/>
        </w:rPr>
        <w:t xml:space="preserve"> stoppes, kan virkningen på tumorvæksten ophøre. Stop ikke behandlingen med </w:t>
      </w:r>
      <w:r w:rsidR="00295FBB">
        <w:rPr>
          <w:noProof/>
          <w:color w:val="000000"/>
          <w:lang w:val="da-DK" w:eastAsia="ko-KR"/>
        </w:rPr>
        <w:t>Vegzelma</w:t>
      </w:r>
      <w:r w:rsidRPr="001278B6">
        <w:rPr>
          <w:snapToGrid w:val="0"/>
          <w:lang w:val="da-DK"/>
        </w:rPr>
        <w:t xml:space="preserve"> før, du har diskuteret det med din læge.</w:t>
      </w:r>
    </w:p>
    <w:p w14:paraId="672DDEDC" w14:textId="77777777" w:rsidR="003563EF" w:rsidRPr="001278B6" w:rsidRDefault="003563EF" w:rsidP="001278B6">
      <w:pPr>
        <w:pStyle w:val="a3"/>
        <w:widowControl/>
        <w:adjustRightInd w:val="0"/>
        <w:snapToGrid w:val="0"/>
        <w:rPr>
          <w:snapToGrid w:val="0"/>
          <w:lang w:val="da-DK"/>
        </w:rPr>
      </w:pPr>
    </w:p>
    <w:p w14:paraId="65CB980E" w14:textId="77777777" w:rsidR="003563EF" w:rsidRPr="001278B6" w:rsidRDefault="00473235" w:rsidP="001278B6">
      <w:pPr>
        <w:pStyle w:val="a3"/>
        <w:widowControl/>
        <w:adjustRightInd w:val="0"/>
        <w:snapToGrid w:val="0"/>
        <w:rPr>
          <w:snapToGrid w:val="0"/>
          <w:lang w:val="da-DK"/>
        </w:rPr>
      </w:pPr>
      <w:r w:rsidRPr="001278B6">
        <w:rPr>
          <w:snapToGrid w:val="0"/>
          <w:lang w:val="da-DK"/>
        </w:rPr>
        <w:t>Spørg lægen, apotekspersonalet eller sygeplejersken, hvis der er noget du er i tvivl om.</w:t>
      </w:r>
    </w:p>
    <w:p w14:paraId="4E952DC6" w14:textId="77777777" w:rsidR="003563EF" w:rsidRPr="001278B6" w:rsidRDefault="003563EF" w:rsidP="001278B6">
      <w:pPr>
        <w:pStyle w:val="a3"/>
        <w:widowControl/>
        <w:adjustRightInd w:val="0"/>
        <w:snapToGrid w:val="0"/>
        <w:rPr>
          <w:snapToGrid w:val="0"/>
          <w:lang w:val="da-DK"/>
        </w:rPr>
      </w:pPr>
    </w:p>
    <w:p w14:paraId="4C09D2DB" w14:textId="77777777" w:rsidR="003563EF" w:rsidRPr="001278B6" w:rsidRDefault="003563EF" w:rsidP="001278B6">
      <w:pPr>
        <w:pStyle w:val="a3"/>
        <w:widowControl/>
        <w:adjustRightInd w:val="0"/>
        <w:snapToGrid w:val="0"/>
        <w:rPr>
          <w:snapToGrid w:val="0"/>
          <w:lang w:val="da-DK"/>
        </w:rPr>
      </w:pPr>
    </w:p>
    <w:p w14:paraId="2FEAF1CD" w14:textId="77777777" w:rsidR="003563EF" w:rsidRPr="001278B6" w:rsidRDefault="00473235" w:rsidP="001278B6">
      <w:pPr>
        <w:pStyle w:val="2"/>
        <w:keepNext/>
        <w:keepLines/>
        <w:widowControl/>
        <w:numPr>
          <w:ilvl w:val="0"/>
          <w:numId w:val="2"/>
        </w:numPr>
        <w:adjustRightInd w:val="0"/>
        <w:snapToGrid w:val="0"/>
        <w:ind w:left="0" w:firstLine="0"/>
        <w:rPr>
          <w:snapToGrid w:val="0"/>
          <w:lang w:val="da-DK"/>
        </w:rPr>
      </w:pPr>
      <w:r w:rsidRPr="001278B6">
        <w:rPr>
          <w:snapToGrid w:val="0"/>
          <w:lang w:val="da-DK"/>
        </w:rPr>
        <w:t>Bivirkninger</w:t>
      </w:r>
    </w:p>
    <w:p w14:paraId="634B21EF" w14:textId="77777777" w:rsidR="003563EF" w:rsidRPr="001278B6" w:rsidRDefault="003563EF" w:rsidP="001278B6">
      <w:pPr>
        <w:pStyle w:val="a3"/>
        <w:keepNext/>
        <w:keepLines/>
        <w:widowControl/>
        <w:adjustRightInd w:val="0"/>
        <w:snapToGrid w:val="0"/>
        <w:rPr>
          <w:bCs/>
          <w:snapToGrid w:val="0"/>
          <w:lang w:val="da-DK"/>
        </w:rPr>
      </w:pPr>
    </w:p>
    <w:p w14:paraId="5461AD35" w14:textId="77777777" w:rsidR="003563EF" w:rsidRPr="001278B6" w:rsidRDefault="00473235" w:rsidP="001278B6">
      <w:pPr>
        <w:pStyle w:val="a3"/>
        <w:widowControl/>
        <w:adjustRightInd w:val="0"/>
        <w:snapToGrid w:val="0"/>
        <w:rPr>
          <w:snapToGrid w:val="0"/>
          <w:lang w:val="da-DK"/>
        </w:rPr>
      </w:pPr>
      <w:r w:rsidRPr="001278B6">
        <w:rPr>
          <w:snapToGrid w:val="0"/>
          <w:lang w:val="da-DK"/>
        </w:rPr>
        <w:t>Dette lægemiddel kan som al anden medicin give bivirkninger, men ikke alle får bivirkninger.</w:t>
      </w:r>
    </w:p>
    <w:p w14:paraId="423EACDC" w14:textId="77777777" w:rsidR="003563EF" w:rsidRPr="001278B6" w:rsidRDefault="003563EF" w:rsidP="001278B6">
      <w:pPr>
        <w:pStyle w:val="a3"/>
        <w:widowControl/>
        <w:adjustRightInd w:val="0"/>
        <w:snapToGrid w:val="0"/>
        <w:rPr>
          <w:snapToGrid w:val="0"/>
          <w:lang w:val="da-DK"/>
        </w:rPr>
      </w:pPr>
    </w:p>
    <w:p w14:paraId="797A4F42" w14:textId="77777777" w:rsidR="003563EF" w:rsidRPr="001278B6" w:rsidRDefault="00473235" w:rsidP="001278B6">
      <w:pPr>
        <w:pStyle w:val="a3"/>
        <w:widowControl/>
        <w:adjustRightInd w:val="0"/>
        <w:snapToGrid w:val="0"/>
        <w:rPr>
          <w:snapToGrid w:val="0"/>
          <w:lang w:val="da-DK"/>
        </w:rPr>
      </w:pPr>
      <w:r w:rsidRPr="001278B6">
        <w:rPr>
          <w:snapToGrid w:val="0"/>
          <w:lang w:val="da-DK"/>
        </w:rPr>
        <w:t>Tal med lægen, apotekspersonalet eller sygeplejersken, hvis du får bivirkninger, herunder bivirkninger, som ikke fremgår af denne indlægsseddel.</w:t>
      </w:r>
    </w:p>
    <w:p w14:paraId="643F80EC" w14:textId="77777777" w:rsidR="003563EF" w:rsidRPr="001278B6" w:rsidRDefault="003563EF" w:rsidP="001278B6">
      <w:pPr>
        <w:pStyle w:val="a3"/>
        <w:widowControl/>
        <w:adjustRightInd w:val="0"/>
        <w:snapToGrid w:val="0"/>
        <w:rPr>
          <w:snapToGrid w:val="0"/>
          <w:lang w:val="da-DK"/>
        </w:rPr>
      </w:pPr>
    </w:p>
    <w:p w14:paraId="7341D7F1" w14:textId="73AC4CED" w:rsidR="003563EF" w:rsidRPr="001278B6" w:rsidRDefault="00473235" w:rsidP="001278B6">
      <w:pPr>
        <w:pStyle w:val="a3"/>
        <w:widowControl/>
        <w:adjustRightInd w:val="0"/>
        <w:snapToGrid w:val="0"/>
        <w:rPr>
          <w:snapToGrid w:val="0"/>
          <w:lang w:val="da-DK"/>
        </w:rPr>
      </w:pPr>
      <w:r w:rsidRPr="001278B6">
        <w:rPr>
          <w:snapToGrid w:val="0"/>
          <w:lang w:val="da-DK"/>
        </w:rPr>
        <w:t xml:space="preserve">De bivirkninger, der er vist nedenfor, blev observeret, når </w:t>
      </w:r>
      <w:r w:rsidR="00295FBB">
        <w:rPr>
          <w:noProof/>
          <w:color w:val="000000"/>
          <w:lang w:val="da-DK" w:eastAsia="ko-KR"/>
        </w:rPr>
        <w:t>Vegzelma</w:t>
      </w:r>
      <w:r w:rsidRPr="001278B6">
        <w:rPr>
          <w:snapToGrid w:val="0"/>
          <w:lang w:val="da-DK"/>
        </w:rPr>
        <w:t xml:space="preserve"> blev givet sammen med kemoterapi. Det betyder ikke at disse bivirkninger nødvendigvis kun skyldes </w:t>
      </w:r>
      <w:r w:rsidR="00295FBB">
        <w:rPr>
          <w:noProof/>
          <w:color w:val="000000"/>
          <w:lang w:val="da-DK" w:eastAsia="ko-KR"/>
        </w:rPr>
        <w:t>Vegzelma</w:t>
      </w:r>
      <w:r w:rsidRPr="001278B6">
        <w:rPr>
          <w:snapToGrid w:val="0"/>
          <w:lang w:val="da-DK"/>
        </w:rPr>
        <w:t>.</w:t>
      </w:r>
    </w:p>
    <w:p w14:paraId="40061C35" w14:textId="77777777" w:rsidR="003563EF" w:rsidRPr="001278B6" w:rsidRDefault="003563EF" w:rsidP="001278B6">
      <w:pPr>
        <w:pStyle w:val="a3"/>
        <w:widowControl/>
        <w:adjustRightInd w:val="0"/>
        <w:snapToGrid w:val="0"/>
        <w:rPr>
          <w:snapToGrid w:val="0"/>
          <w:lang w:val="da-DK"/>
        </w:rPr>
      </w:pPr>
    </w:p>
    <w:p w14:paraId="4574E735" w14:textId="77777777" w:rsidR="003563EF" w:rsidRPr="00747393" w:rsidRDefault="00473235" w:rsidP="00747393">
      <w:pPr>
        <w:rPr>
          <w:b/>
          <w:bCs/>
          <w:snapToGrid w:val="0"/>
          <w:lang w:val="da-DK"/>
        </w:rPr>
      </w:pPr>
      <w:r w:rsidRPr="00747393">
        <w:rPr>
          <w:b/>
          <w:bCs/>
          <w:snapToGrid w:val="0"/>
          <w:lang w:val="da-DK"/>
        </w:rPr>
        <w:t>Allergiske reaktioner</w:t>
      </w:r>
    </w:p>
    <w:p w14:paraId="30D6C0CF" w14:textId="77777777" w:rsidR="002F574B" w:rsidRPr="001278B6" w:rsidRDefault="002F574B" w:rsidP="00747393">
      <w:pPr>
        <w:rPr>
          <w:snapToGrid w:val="0"/>
          <w:lang w:val="da-DK"/>
        </w:rPr>
      </w:pPr>
    </w:p>
    <w:p w14:paraId="39AF95E6" w14:textId="762F1045" w:rsidR="003563EF" w:rsidRPr="00FE39E6" w:rsidRDefault="00473235" w:rsidP="00FE39E6">
      <w:pPr>
        <w:rPr>
          <w:lang w:val="da-DK"/>
        </w:rPr>
      </w:pPr>
      <w:r w:rsidRPr="001278B6">
        <w:rPr>
          <w:snapToGrid w:val="0"/>
          <w:lang w:val="da-DK"/>
        </w:rPr>
        <w:t>Hvis du får en allergisk reaktion, skal du med det samme fortælle det til din læge eller sygeplejersken. Symptomerne kan inkludere vejrtrækningsbesvær eller brystsmerter. Du kan også opleve hudrødme eller blussende hud, udslæt, kuldegysninger og rysten eller kvalme og opkastning</w:t>
      </w:r>
      <w:r w:rsidR="00046ECD">
        <w:rPr>
          <w:lang w:val="da-DK"/>
        </w:rPr>
        <w:t>, hævelse, ørhed, hurtig hjerterytme og bevidstløshed</w:t>
      </w:r>
      <w:r w:rsidR="00046ECD" w:rsidRPr="00C35CA6">
        <w:rPr>
          <w:lang w:val="da-DK"/>
        </w:rPr>
        <w:t xml:space="preserve">. </w:t>
      </w:r>
    </w:p>
    <w:p w14:paraId="20166416" w14:textId="77777777" w:rsidR="003563EF" w:rsidRPr="001278B6" w:rsidRDefault="003563EF" w:rsidP="001278B6">
      <w:pPr>
        <w:pStyle w:val="a3"/>
        <w:widowControl/>
        <w:adjustRightInd w:val="0"/>
        <w:snapToGrid w:val="0"/>
        <w:rPr>
          <w:snapToGrid w:val="0"/>
          <w:lang w:val="da-DK"/>
        </w:rPr>
      </w:pPr>
    </w:p>
    <w:p w14:paraId="160A5711" w14:textId="77777777" w:rsidR="003563EF" w:rsidRPr="00747393" w:rsidRDefault="00473235" w:rsidP="00747393">
      <w:pPr>
        <w:rPr>
          <w:b/>
          <w:bCs/>
          <w:i/>
          <w:snapToGrid w:val="0"/>
          <w:lang w:val="da-DK"/>
        </w:rPr>
      </w:pPr>
      <w:r w:rsidRPr="00747393">
        <w:rPr>
          <w:b/>
          <w:bCs/>
          <w:snapToGrid w:val="0"/>
          <w:lang w:val="da-DK"/>
        </w:rPr>
        <w:t>Du skal omgående søge hjælp, hvis du får en af de nedenfor anførte bivirkninger</w:t>
      </w:r>
      <w:r w:rsidRPr="00747393">
        <w:rPr>
          <w:b/>
          <w:bCs/>
          <w:i/>
          <w:snapToGrid w:val="0"/>
          <w:lang w:val="da-DK"/>
        </w:rPr>
        <w:t>.</w:t>
      </w:r>
    </w:p>
    <w:p w14:paraId="25BAEE0F" w14:textId="77777777" w:rsidR="003563EF" w:rsidRPr="001278B6" w:rsidRDefault="003563EF" w:rsidP="001278B6">
      <w:pPr>
        <w:pStyle w:val="a3"/>
        <w:widowControl/>
        <w:adjustRightInd w:val="0"/>
        <w:snapToGrid w:val="0"/>
        <w:rPr>
          <w:b/>
          <w:i/>
          <w:snapToGrid w:val="0"/>
          <w:lang w:val="da-DK"/>
        </w:rPr>
      </w:pPr>
    </w:p>
    <w:p w14:paraId="0F4B88D9" w14:textId="06901C2F" w:rsidR="003563EF" w:rsidRPr="001278B6" w:rsidRDefault="00473235" w:rsidP="001278B6">
      <w:pPr>
        <w:pStyle w:val="a3"/>
        <w:keepNext/>
        <w:keepLines/>
        <w:widowControl/>
        <w:adjustRightInd w:val="0"/>
        <w:snapToGrid w:val="0"/>
        <w:rPr>
          <w:snapToGrid w:val="0"/>
          <w:lang w:val="da-DK"/>
        </w:rPr>
      </w:pPr>
      <w:r w:rsidRPr="001278B6">
        <w:rPr>
          <w:snapToGrid w:val="0"/>
          <w:lang w:val="da-DK"/>
        </w:rPr>
        <w:t xml:space="preserve">Alvorlige bivirkninger, som kan være </w:t>
      </w:r>
      <w:r w:rsidRPr="001278B6">
        <w:rPr>
          <w:b/>
          <w:snapToGrid w:val="0"/>
          <w:lang w:val="da-DK"/>
        </w:rPr>
        <w:t xml:space="preserve">meget almindelige </w:t>
      </w:r>
      <w:r w:rsidRPr="001278B6">
        <w:rPr>
          <w:snapToGrid w:val="0"/>
          <w:lang w:val="da-DK"/>
        </w:rPr>
        <w:t>(</w:t>
      </w:r>
      <w:r w:rsidR="00FE7B98">
        <w:rPr>
          <w:lang w:val="da-DK"/>
        </w:rPr>
        <w:t xml:space="preserve">kan </w:t>
      </w:r>
      <w:r w:rsidRPr="001278B6">
        <w:rPr>
          <w:snapToGrid w:val="0"/>
          <w:lang w:val="da-DK"/>
        </w:rPr>
        <w:t>påvirke flere end 1 patient ud af 10), omfatter:</w:t>
      </w:r>
    </w:p>
    <w:p w14:paraId="5FCDA6AD" w14:textId="77777777" w:rsidR="003563EF" w:rsidRPr="001278B6" w:rsidRDefault="00473235" w:rsidP="001278B6">
      <w:pPr>
        <w:pStyle w:val="Bullet1"/>
        <w:widowControl/>
        <w:rPr>
          <w:lang w:val="da-DK"/>
        </w:rPr>
      </w:pPr>
      <w:r w:rsidRPr="001278B6">
        <w:rPr>
          <w:lang w:val="da-DK"/>
        </w:rPr>
        <w:t>forhøjet blodtryk,</w:t>
      </w:r>
    </w:p>
    <w:p w14:paraId="6F801D60" w14:textId="77777777" w:rsidR="003563EF" w:rsidRPr="001278B6" w:rsidRDefault="00473235" w:rsidP="001278B6">
      <w:pPr>
        <w:pStyle w:val="Bullet1"/>
        <w:widowControl/>
        <w:rPr>
          <w:lang w:val="da-DK"/>
        </w:rPr>
      </w:pPr>
      <w:r w:rsidRPr="001278B6">
        <w:rPr>
          <w:lang w:val="da-DK"/>
        </w:rPr>
        <w:t>følelsesløshed eller prikkende fornemmelse i hænder og fødder,</w:t>
      </w:r>
    </w:p>
    <w:p w14:paraId="20F3E69C" w14:textId="77777777" w:rsidR="003563EF" w:rsidRPr="001278B6" w:rsidRDefault="00473235" w:rsidP="001278B6">
      <w:pPr>
        <w:pStyle w:val="Bullet1"/>
        <w:widowControl/>
        <w:rPr>
          <w:lang w:val="da-DK"/>
        </w:rPr>
      </w:pPr>
      <w:r w:rsidRPr="001278B6">
        <w:rPr>
          <w:lang w:val="da-DK"/>
        </w:rPr>
        <w:t>nedsat antal af celler i blodet, inklusive hvide blodlegemer som hjælper med at bekæmpe infektioner i kroppen (kan være ledsaget af feber) og celler, der hjælper blodet med at størkne,</w:t>
      </w:r>
    </w:p>
    <w:p w14:paraId="47E2B687" w14:textId="77777777" w:rsidR="003563EF" w:rsidRPr="001278B6" w:rsidRDefault="00473235" w:rsidP="001278B6">
      <w:pPr>
        <w:pStyle w:val="Bullet1"/>
        <w:widowControl/>
        <w:rPr>
          <w:lang w:val="da-DK"/>
        </w:rPr>
      </w:pPr>
      <w:r w:rsidRPr="001278B6">
        <w:rPr>
          <w:lang w:val="da-DK"/>
        </w:rPr>
        <w:t>svaghedsfølelse og mangel på energi,</w:t>
      </w:r>
    </w:p>
    <w:p w14:paraId="5F813A4C" w14:textId="77777777" w:rsidR="003563EF" w:rsidRPr="001278B6" w:rsidRDefault="00473235" w:rsidP="001278B6">
      <w:pPr>
        <w:pStyle w:val="Bullet1"/>
        <w:widowControl/>
        <w:rPr>
          <w:lang w:val="da-DK"/>
        </w:rPr>
      </w:pPr>
      <w:r w:rsidRPr="001278B6">
        <w:rPr>
          <w:lang w:val="da-DK"/>
        </w:rPr>
        <w:t>træthed,</w:t>
      </w:r>
    </w:p>
    <w:p w14:paraId="7BA66CF8" w14:textId="68C9CE46" w:rsidR="003563EF" w:rsidRPr="001278B6" w:rsidRDefault="00473235" w:rsidP="001278B6">
      <w:pPr>
        <w:pStyle w:val="Bullet1"/>
        <w:widowControl/>
        <w:rPr>
          <w:lang w:val="da-DK"/>
        </w:rPr>
      </w:pPr>
      <w:r w:rsidRPr="001278B6">
        <w:rPr>
          <w:lang w:val="da-DK"/>
        </w:rPr>
        <w:t>diarré, kvalme, opkastning og mavesmerte</w:t>
      </w:r>
      <w:r w:rsidR="00D7140B">
        <w:rPr>
          <w:lang w:val="da-DK"/>
        </w:rPr>
        <w:t>.</w:t>
      </w:r>
    </w:p>
    <w:p w14:paraId="3AAF4D7F" w14:textId="77777777" w:rsidR="003563EF" w:rsidRPr="001278B6" w:rsidRDefault="003563EF" w:rsidP="001278B6">
      <w:pPr>
        <w:pStyle w:val="a3"/>
        <w:widowControl/>
        <w:adjustRightInd w:val="0"/>
        <w:snapToGrid w:val="0"/>
        <w:rPr>
          <w:snapToGrid w:val="0"/>
          <w:lang w:val="da-DK"/>
        </w:rPr>
      </w:pPr>
    </w:p>
    <w:p w14:paraId="723CCE16" w14:textId="35B2F3D4" w:rsidR="003563EF" w:rsidRPr="001278B6" w:rsidRDefault="00473235" w:rsidP="001278B6">
      <w:pPr>
        <w:pStyle w:val="a3"/>
        <w:widowControl/>
        <w:adjustRightInd w:val="0"/>
        <w:snapToGrid w:val="0"/>
        <w:rPr>
          <w:snapToGrid w:val="0"/>
          <w:lang w:val="da-DK"/>
        </w:rPr>
      </w:pPr>
      <w:r w:rsidRPr="001278B6">
        <w:rPr>
          <w:snapToGrid w:val="0"/>
          <w:lang w:val="da-DK"/>
        </w:rPr>
        <w:t xml:space="preserve">Alvorlige bivirkninger, som kan være </w:t>
      </w:r>
      <w:r w:rsidRPr="001278B6">
        <w:rPr>
          <w:b/>
          <w:snapToGrid w:val="0"/>
          <w:lang w:val="da-DK"/>
        </w:rPr>
        <w:t xml:space="preserve">almindelige </w:t>
      </w:r>
      <w:r w:rsidRPr="001278B6">
        <w:rPr>
          <w:snapToGrid w:val="0"/>
          <w:lang w:val="da-DK"/>
        </w:rPr>
        <w:t>(</w:t>
      </w:r>
      <w:r w:rsidR="00FE7B98">
        <w:rPr>
          <w:lang w:val="da-DK"/>
        </w:rPr>
        <w:t xml:space="preserve">kan </w:t>
      </w:r>
      <w:r w:rsidRPr="001278B6">
        <w:rPr>
          <w:snapToGrid w:val="0"/>
          <w:lang w:val="da-DK"/>
        </w:rPr>
        <w:t xml:space="preserve">påvirke </w:t>
      </w:r>
      <w:r w:rsidR="00610731">
        <w:rPr>
          <w:lang w:val="da-DK"/>
        </w:rPr>
        <w:t>op til</w:t>
      </w:r>
      <w:r w:rsidR="00610731" w:rsidRPr="00C35CA6">
        <w:rPr>
          <w:lang w:val="da-DK"/>
        </w:rPr>
        <w:t xml:space="preserve"> </w:t>
      </w:r>
      <w:r w:rsidRPr="001278B6">
        <w:rPr>
          <w:snapToGrid w:val="0"/>
          <w:lang w:val="da-DK"/>
        </w:rPr>
        <w:t xml:space="preserve">1 </w:t>
      </w:r>
      <w:r w:rsidR="0091280B">
        <w:rPr>
          <w:lang w:val="da-DK"/>
        </w:rPr>
        <w:t>ud af</w:t>
      </w:r>
      <w:r w:rsidR="0091280B" w:rsidRPr="00C35CA6">
        <w:rPr>
          <w:lang w:val="da-DK"/>
        </w:rPr>
        <w:t xml:space="preserve"> </w:t>
      </w:r>
      <w:r w:rsidRPr="001278B6">
        <w:rPr>
          <w:snapToGrid w:val="0"/>
          <w:lang w:val="da-DK"/>
        </w:rPr>
        <w:t>10 patienter), omfatter:</w:t>
      </w:r>
    </w:p>
    <w:p w14:paraId="21BB10BD" w14:textId="77777777" w:rsidR="003563EF" w:rsidRPr="001278B6" w:rsidRDefault="00473235" w:rsidP="001278B6">
      <w:pPr>
        <w:pStyle w:val="Bullet1"/>
        <w:widowControl/>
        <w:rPr>
          <w:lang w:val="da-DK"/>
        </w:rPr>
      </w:pPr>
      <w:r w:rsidRPr="001278B6">
        <w:rPr>
          <w:lang w:val="da-DK"/>
        </w:rPr>
        <w:t>huller i tarmen,</w:t>
      </w:r>
    </w:p>
    <w:p w14:paraId="207DE81F" w14:textId="77777777" w:rsidR="003563EF" w:rsidRPr="001278B6" w:rsidRDefault="00473235" w:rsidP="001278B6">
      <w:pPr>
        <w:pStyle w:val="Bullet1"/>
        <w:widowControl/>
        <w:rPr>
          <w:lang w:val="da-DK"/>
        </w:rPr>
      </w:pPr>
      <w:r w:rsidRPr="001278B6">
        <w:rPr>
          <w:lang w:val="da-DK"/>
        </w:rPr>
        <w:t>blødning, herunder blødning i lungerne hos patienter med ikke</w:t>
      </w:r>
      <w:r w:rsidR="004B3750">
        <w:rPr>
          <w:lang w:val="da-DK"/>
        </w:rPr>
        <w:noBreakHyphen/>
      </w:r>
      <w:r w:rsidRPr="001278B6">
        <w:rPr>
          <w:lang w:val="da-DK"/>
        </w:rPr>
        <w:t>småcellet lungekræft,</w:t>
      </w:r>
    </w:p>
    <w:p w14:paraId="193EAF5A" w14:textId="77777777" w:rsidR="003563EF" w:rsidRPr="001278B6" w:rsidRDefault="00473235" w:rsidP="001278B6">
      <w:pPr>
        <w:pStyle w:val="Bullet1"/>
        <w:widowControl/>
        <w:rPr>
          <w:lang w:val="da-DK"/>
        </w:rPr>
      </w:pPr>
      <w:r w:rsidRPr="001278B6">
        <w:rPr>
          <w:lang w:val="da-DK"/>
        </w:rPr>
        <w:t>blokering af arterier på grund af en blodprop,</w:t>
      </w:r>
    </w:p>
    <w:p w14:paraId="14D9CB1E" w14:textId="77777777" w:rsidR="003563EF" w:rsidRPr="001278B6" w:rsidRDefault="00473235" w:rsidP="001278B6">
      <w:pPr>
        <w:pStyle w:val="Bullet1"/>
        <w:widowControl/>
        <w:rPr>
          <w:lang w:val="da-DK"/>
        </w:rPr>
      </w:pPr>
      <w:r w:rsidRPr="001278B6">
        <w:rPr>
          <w:lang w:val="da-DK"/>
        </w:rPr>
        <w:t>blokering af vener på grund af en blodprop,</w:t>
      </w:r>
    </w:p>
    <w:p w14:paraId="0251F2F4" w14:textId="77777777" w:rsidR="003563EF" w:rsidRPr="001278B6" w:rsidRDefault="00473235" w:rsidP="001278B6">
      <w:pPr>
        <w:pStyle w:val="Bullet1"/>
        <w:widowControl/>
        <w:rPr>
          <w:lang w:val="da-DK"/>
        </w:rPr>
      </w:pPr>
      <w:r w:rsidRPr="001278B6">
        <w:rPr>
          <w:lang w:val="da-DK"/>
        </w:rPr>
        <w:t>blokering af blodårerne i lungerne på grund af en blodprop,</w:t>
      </w:r>
    </w:p>
    <w:p w14:paraId="1CE21ED5" w14:textId="77777777" w:rsidR="003563EF" w:rsidRPr="001278B6" w:rsidRDefault="00473235" w:rsidP="001278B6">
      <w:pPr>
        <w:pStyle w:val="Bullet1"/>
        <w:widowControl/>
        <w:rPr>
          <w:lang w:val="da-DK"/>
        </w:rPr>
      </w:pPr>
      <w:r w:rsidRPr="001278B6">
        <w:rPr>
          <w:lang w:val="da-DK"/>
        </w:rPr>
        <w:t>blokering af vener i benene på grund af en blodprop,</w:t>
      </w:r>
    </w:p>
    <w:p w14:paraId="29C5A0F5" w14:textId="4ED40CAD" w:rsidR="003563EF" w:rsidRPr="001278B6" w:rsidRDefault="00473235" w:rsidP="001278B6">
      <w:pPr>
        <w:pStyle w:val="Bullet1"/>
        <w:widowControl/>
        <w:rPr>
          <w:lang w:val="da-DK"/>
        </w:rPr>
      </w:pPr>
      <w:r w:rsidRPr="001278B6">
        <w:rPr>
          <w:lang w:val="da-DK"/>
        </w:rPr>
        <w:t>hjertesvigt</w:t>
      </w:r>
      <w:r w:rsidR="00D7140B">
        <w:rPr>
          <w:lang w:val="da-DK"/>
        </w:rPr>
        <w:t>,</w:t>
      </w:r>
    </w:p>
    <w:p w14:paraId="1DBC9DBD" w14:textId="77777777" w:rsidR="003563EF" w:rsidRPr="001278B6" w:rsidRDefault="00473235" w:rsidP="001278B6">
      <w:pPr>
        <w:pStyle w:val="Bullet1"/>
        <w:widowControl/>
        <w:rPr>
          <w:lang w:val="da-DK"/>
        </w:rPr>
      </w:pPr>
      <w:r w:rsidRPr="001278B6">
        <w:rPr>
          <w:lang w:val="da-DK"/>
        </w:rPr>
        <w:t>problemer med sårheling efter operation,</w:t>
      </w:r>
    </w:p>
    <w:p w14:paraId="67FC211E" w14:textId="77777777" w:rsidR="003563EF" w:rsidRPr="001278B6" w:rsidRDefault="00473235" w:rsidP="001278B6">
      <w:pPr>
        <w:pStyle w:val="Bullet1"/>
        <w:widowControl/>
        <w:rPr>
          <w:lang w:val="da-DK"/>
        </w:rPr>
      </w:pPr>
      <w:r w:rsidRPr="001278B6">
        <w:rPr>
          <w:lang w:val="da-DK"/>
        </w:rPr>
        <w:t>rødme, afskalning, ømhed, smerter eller blisterdannelse på fingre eller fødder,</w:t>
      </w:r>
    </w:p>
    <w:p w14:paraId="4E8F6459" w14:textId="77777777" w:rsidR="003563EF" w:rsidRPr="001278B6" w:rsidRDefault="00473235" w:rsidP="001278B6">
      <w:pPr>
        <w:pStyle w:val="Bullet1"/>
        <w:widowControl/>
        <w:rPr>
          <w:lang w:val="da-DK"/>
        </w:rPr>
      </w:pPr>
      <w:r w:rsidRPr="001278B6">
        <w:rPr>
          <w:lang w:val="da-DK"/>
        </w:rPr>
        <w:t>nedsat antal røde blodlegemer i blodet,</w:t>
      </w:r>
    </w:p>
    <w:p w14:paraId="6E098C1C" w14:textId="77777777" w:rsidR="003563EF" w:rsidRPr="001278B6" w:rsidRDefault="00473235" w:rsidP="001278B6">
      <w:pPr>
        <w:pStyle w:val="Bullet1"/>
        <w:widowControl/>
        <w:rPr>
          <w:lang w:val="da-DK"/>
        </w:rPr>
      </w:pPr>
      <w:r w:rsidRPr="001278B6">
        <w:rPr>
          <w:lang w:val="da-DK"/>
        </w:rPr>
        <w:t>mangel på energi,</w:t>
      </w:r>
    </w:p>
    <w:p w14:paraId="7F510FF2" w14:textId="77777777" w:rsidR="003563EF" w:rsidRPr="001278B6" w:rsidRDefault="00473235" w:rsidP="001278B6">
      <w:pPr>
        <w:pStyle w:val="Bullet1"/>
        <w:widowControl/>
        <w:rPr>
          <w:lang w:val="da-DK"/>
        </w:rPr>
      </w:pPr>
      <w:r w:rsidRPr="001278B6">
        <w:rPr>
          <w:lang w:val="da-DK"/>
        </w:rPr>
        <w:t>mave</w:t>
      </w:r>
      <w:r w:rsidR="004B3750">
        <w:rPr>
          <w:lang w:val="da-DK"/>
        </w:rPr>
        <w:noBreakHyphen/>
      </w:r>
      <w:r w:rsidRPr="001278B6">
        <w:rPr>
          <w:lang w:val="da-DK"/>
        </w:rPr>
        <w:t xml:space="preserve"> og tarmproblemer,</w:t>
      </w:r>
    </w:p>
    <w:p w14:paraId="63DDA7D4" w14:textId="77777777" w:rsidR="003563EF" w:rsidRPr="001278B6" w:rsidRDefault="00473235" w:rsidP="001278B6">
      <w:pPr>
        <w:pStyle w:val="Bullet1"/>
        <w:widowControl/>
        <w:rPr>
          <w:lang w:val="da-DK"/>
        </w:rPr>
      </w:pPr>
      <w:r w:rsidRPr="001278B6">
        <w:rPr>
          <w:lang w:val="da-DK"/>
        </w:rPr>
        <w:t>muskel</w:t>
      </w:r>
      <w:r w:rsidR="004B3750">
        <w:rPr>
          <w:lang w:val="da-DK"/>
        </w:rPr>
        <w:noBreakHyphen/>
      </w:r>
      <w:r w:rsidRPr="001278B6">
        <w:rPr>
          <w:lang w:val="da-DK"/>
        </w:rPr>
        <w:t xml:space="preserve"> og ledsmerter, muskelsvaghed,</w:t>
      </w:r>
    </w:p>
    <w:p w14:paraId="497C6607" w14:textId="77777777" w:rsidR="003563EF" w:rsidRPr="001278B6" w:rsidRDefault="00473235" w:rsidP="001278B6">
      <w:pPr>
        <w:pStyle w:val="Bullet1"/>
        <w:widowControl/>
        <w:rPr>
          <w:lang w:val="da-DK"/>
        </w:rPr>
      </w:pPr>
      <w:r w:rsidRPr="001278B6">
        <w:rPr>
          <w:lang w:val="da-DK"/>
        </w:rPr>
        <w:t>mundtørhed kombineret med tørst og/eller nedsat urinmængde eller mørkfarvet urin,</w:t>
      </w:r>
    </w:p>
    <w:p w14:paraId="4462F79B" w14:textId="77777777" w:rsidR="003563EF" w:rsidRPr="001278B6" w:rsidRDefault="00473235" w:rsidP="001278B6">
      <w:pPr>
        <w:pStyle w:val="Bullet1"/>
        <w:widowControl/>
        <w:rPr>
          <w:lang w:val="da-DK"/>
        </w:rPr>
      </w:pPr>
      <w:r w:rsidRPr="001278B6">
        <w:rPr>
          <w:lang w:val="da-DK"/>
        </w:rPr>
        <w:t>inflammation (betændelseslignende reaktion) i slimhinder i mund og tarme, lunger og luftveje, kønsdele og urinveje,</w:t>
      </w:r>
    </w:p>
    <w:p w14:paraId="23C1BFB7" w14:textId="77777777" w:rsidR="003563EF" w:rsidRPr="001278B6" w:rsidRDefault="00473235" w:rsidP="001278B6">
      <w:pPr>
        <w:pStyle w:val="Bullet1"/>
        <w:widowControl/>
        <w:rPr>
          <w:lang w:val="da-DK"/>
        </w:rPr>
      </w:pPr>
      <w:r w:rsidRPr="001278B6">
        <w:rPr>
          <w:lang w:val="da-DK"/>
        </w:rPr>
        <w:t>sår i munden og spiserøret, som kan være smertefulde og forårsage synkeproblemer,</w:t>
      </w:r>
    </w:p>
    <w:p w14:paraId="5AE4911E" w14:textId="77777777" w:rsidR="003563EF" w:rsidRPr="001278B6" w:rsidRDefault="00473235" w:rsidP="001278B6">
      <w:pPr>
        <w:pStyle w:val="Bullet1"/>
        <w:widowControl/>
        <w:rPr>
          <w:lang w:val="da-DK"/>
        </w:rPr>
      </w:pPr>
      <w:r w:rsidRPr="001278B6">
        <w:rPr>
          <w:lang w:val="da-DK"/>
        </w:rPr>
        <w:t>smerter, inklusive hovedpine, rygsmerter, bækkensmerter og smerter omkring endetarmen,</w:t>
      </w:r>
    </w:p>
    <w:p w14:paraId="0DA00A3D" w14:textId="77777777" w:rsidR="003563EF" w:rsidRPr="001278B6" w:rsidRDefault="00473235" w:rsidP="001278B6">
      <w:pPr>
        <w:pStyle w:val="Bullet1"/>
        <w:widowControl/>
        <w:rPr>
          <w:lang w:val="da-DK"/>
        </w:rPr>
      </w:pPr>
      <w:r w:rsidRPr="001278B6">
        <w:rPr>
          <w:lang w:val="da-DK"/>
        </w:rPr>
        <w:t>lokaliseret ansamling af pus,</w:t>
      </w:r>
    </w:p>
    <w:p w14:paraId="4FB56D92" w14:textId="77777777" w:rsidR="003563EF" w:rsidRPr="001278B6" w:rsidRDefault="00473235" w:rsidP="001278B6">
      <w:pPr>
        <w:pStyle w:val="Bullet1"/>
        <w:widowControl/>
        <w:rPr>
          <w:lang w:val="da-DK"/>
        </w:rPr>
      </w:pPr>
      <w:r w:rsidRPr="001278B6">
        <w:rPr>
          <w:lang w:val="da-DK"/>
        </w:rPr>
        <w:t>infektion, specielt infektion i blodet eller blæren,</w:t>
      </w:r>
    </w:p>
    <w:p w14:paraId="7E3968B4" w14:textId="77777777" w:rsidR="003563EF" w:rsidRPr="001278B6" w:rsidRDefault="00473235" w:rsidP="001278B6">
      <w:pPr>
        <w:pStyle w:val="Bullet1"/>
        <w:widowControl/>
        <w:rPr>
          <w:lang w:val="da-DK"/>
        </w:rPr>
      </w:pPr>
      <w:r w:rsidRPr="001278B6">
        <w:rPr>
          <w:lang w:val="da-DK"/>
        </w:rPr>
        <w:t>nedsat blodtilførsel til hjernen eller slagtilfælde,</w:t>
      </w:r>
    </w:p>
    <w:p w14:paraId="7B72CC74" w14:textId="77777777" w:rsidR="003563EF" w:rsidRPr="001278B6" w:rsidRDefault="00473235" w:rsidP="001278B6">
      <w:pPr>
        <w:pStyle w:val="Bullet1"/>
        <w:widowControl/>
        <w:rPr>
          <w:lang w:val="da-DK"/>
        </w:rPr>
      </w:pPr>
      <w:r w:rsidRPr="001278B6">
        <w:rPr>
          <w:lang w:val="da-DK"/>
        </w:rPr>
        <w:t>søvnighed,</w:t>
      </w:r>
    </w:p>
    <w:p w14:paraId="7E1A8323" w14:textId="77777777" w:rsidR="003563EF" w:rsidRPr="001278B6" w:rsidRDefault="00473235" w:rsidP="001278B6">
      <w:pPr>
        <w:pStyle w:val="Bullet1"/>
        <w:widowControl/>
        <w:rPr>
          <w:lang w:val="da-DK"/>
        </w:rPr>
      </w:pPr>
      <w:r w:rsidRPr="001278B6">
        <w:rPr>
          <w:lang w:val="da-DK"/>
        </w:rPr>
        <w:t>næseblod,</w:t>
      </w:r>
    </w:p>
    <w:p w14:paraId="5A25BF70" w14:textId="77777777" w:rsidR="003563EF" w:rsidRPr="001278B6" w:rsidRDefault="00473235" w:rsidP="001278B6">
      <w:pPr>
        <w:pStyle w:val="Bullet1"/>
        <w:widowControl/>
        <w:rPr>
          <w:lang w:val="da-DK"/>
        </w:rPr>
      </w:pPr>
      <w:r w:rsidRPr="001278B6">
        <w:rPr>
          <w:lang w:val="da-DK"/>
        </w:rPr>
        <w:t>forøgelse af hjerterytmen (pulsen),</w:t>
      </w:r>
    </w:p>
    <w:p w14:paraId="752E10EA" w14:textId="77777777" w:rsidR="003563EF" w:rsidRPr="001278B6" w:rsidRDefault="00473235" w:rsidP="001278B6">
      <w:pPr>
        <w:pStyle w:val="Bullet1"/>
        <w:widowControl/>
        <w:rPr>
          <w:lang w:val="da-DK"/>
        </w:rPr>
      </w:pPr>
      <w:r w:rsidRPr="001278B6">
        <w:rPr>
          <w:lang w:val="da-DK"/>
        </w:rPr>
        <w:t>tarmblokade,</w:t>
      </w:r>
    </w:p>
    <w:p w14:paraId="034BCA10" w14:textId="77777777" w:rsidR="003563EF" w:rsidRPr="001278B6" w:rsidRDefault="00473235" w:rsidP="001278B6">
      <w:pPr>
        <w:pStyle w:val="Bullet1"/>
        <w:widowControl/>
        <w:rPr>
          <w:lang w:val="da-DK"/>
        </w:rPr>
      </w:pPr>
      <w:r w:rsidRPr="001278B6">
        <w:rPr>
          <w:lang w:val="da-DK"/>
        </w:rPr>
        <w:t>unormal urintest (protein i blodet),</w:t>
      </w:r>
    </w:p>
    <w:p w14:paraId="0D936E67" w14:textId="77777777" w:rsidR="003563EF" w:rsidRPr="001278B6" w:rsidRDefault="00473235" w:rsidP="001278B6">
      <w:pPr>
        <w:pStyle w:val="Bullet1"/>
        <w:widowControl/>
        <w:rPr>
          <w:lang w:val="da-DK"/>
        </w:rPr>
      </w:pPr>
      <w:r w:rsidRPr="001278B6">
        <w:rPr>
          <w:lang w:val="da-DK"/>
        </w:rPr>
        <w:t>kortåndethed eller lavt indhold af ilt i blodet,</w:t>
      </w:r>
    </w:p>
    <w:p w14:paraId="6BFF2DCC" w14:textId="77777777" w:rsidR="003563EF" w:rsidRPr="001278B6" w:rsidRDefault="00473235" w:rsidP="001278B6">
      <w:pPr>
        <w:pStyle w:val="Bullet1"/>
        <w:widowControl/>
        <w:rPr>
          <w:lang w:val="da-DK"/>
        </w:rPr>
      </w:pPr>
      <w:r w:rsidRPr="001278B6">
        <w:rPr>
          <w:lang w:val="da-DK"/>
        </w:rPr>
        <w:t>infektion i huden eller i de dybereliggende lag under huden,</w:t>
      </w:r>
    </w:p>
    <w:p w14:paraId="378CEDC9" w14:textId="2D40EE9F" w:rsidR="003563EF" w:rsidRDefault="00473235" w:rsidP="001278B6">
      <w:pPr>
        <w:pStyle w:val="Bullet1"/>
        <w:widowControl/>
        <w:rPr>
          <w:lang w:val="da-DK"/>
        </w:rPr>
      </w:pPr>
      <w:r w:rsidRPr="001278B6">
        <w:rPr>
          <w:lang w:val="da-DK"/>
        </w:rPr>
        <w:t>fistel: abnorm, rørformet forbindelse mellem indre organer og hud eller andre væv, som normalt ikke er forbundet, inklusive forbindelse mellem skeden og tarmen hos patienter med livmoderhalskræft</w:t>
      </w:r>
      <w:r w:rsidR="00C44DC9">
        <w:rPr>
          <w:lang w:val="da-DK"/>
        </w:rPr>
        <w:t>,</w:t>
      </w:r>
    </w:p>
    <w:p w14:paraId="2299E097" w14:textId="78E4DAC4" w:rsidR="00B300E0" w:rsidRPr="00B300E0" w:rsidRDefault="00B300E0" w:rsidP="00B300E0">
      <w:pPr>
        <w:pStyle w:val="Bullet1"/>
        <w:rPr>
          <w:lang w:val="da-DK"/>
        </w:rPr>
      </w:pPr>
      <w:r w:rsidRPr="00B300E0">
        <w:rPr>
          <w:lang w:val="da-DK"/>
        </w:rPr>
        <w:t>allergiske reaktioner (symptomer kan være vejrtrækningsproblemer, ansigtsrødme, udslæt, lavt</w:t>
      </w:r>
      <w:r>
        <w:rPr>
          <w:rFonts w:eastAsia="맑은 고딕" w:hint="eastAsia"/>
          <w:lang w:val="da-DK" w:eastAsia="ko-KR"/>
        </w:rPr>
        <w:t xml:space="preserve"> </w:t>
      </w:r>
      <w:r w:rsidRPr="00B300E0">
        <w:rPr>
          <w:lang w:val="da-DK"/>
        </w:rPr>
        <w:t>blodtryk eller højt blodtryk, lav iltmængde i blodet, brystsmerter eller kvalme/opkastning).</w:t>
      </w:r>
    </w:p>
    <w:p w14:paraId="348B0978" w14:textId="77777777" w:rsidR="003563EF" w:rsidRPr="001278B6" w:rsidRDefault="003563EF" w:rsidP="001278B6">
      <w:pPr>
        <w:pStyle w:val="a3"/>
        <w:widowControl/>
        <w:adjustRightInd w:val="0"/>
        <w:snapToGrid w:val="0"/>
        <w:rPr>
          <w:snapToGrid w:val="0"/>
          <w:lang w:val="da-DK"/>
        </w:rPr>
      </w:pPr>
    </w:p>
    <w:p w14:paraId="5366370E" w14:textId="730F1A07" w:rsidR="00667130" w:rsidRDefault="00667130" w:rsidP="00667130">
      <w:pPr>
        <w:pStyle w:val="a3"/>
        <w:widowControl/>
        <w:adjustRightInd w:val="0"/>
        <w:snapToGrid w:val="0"/>
        <w:rPr>
          <w:snapToGrid w:val="0"/>
          <w:lang w:val="da-DK"/>
        </w:rPr>
      </w:pPr>
      <w:r w:rsidRPr="00667130">
        <w:rPr>
          <w:snapToGrid w:val="0"/>
          <w:lang w:val="da-DK"/>
        </w:rPr>
        <w:t xml:space="preserve">Alvorlige bivirkninger, som kan være </w:t>
      </w:r>
      <w:r w:rsidRPr="00FE39E6">
        <w:rPr>
          <w:b/>
          <w:bCs/>
          <w:snapToGrid w:val="0"/>
          <w:lang w:val="da-DK"/>
        </w:rPr>
        <w:t>sjældne</w:t>
      </w:r>
      <w:r w:rsidRPr="00667130">
        <w:rPr>
          <w:snapToGrid w:val="0"/>
          <w:lang w:val="da-DK"/>
        </w:rPr>
        <w:t xml:space="preserve"> (kan påvirke </w:t>
      </w:r>
      <w:r w:rsidR="00A02D9B">
        <w:rPr>
          <w:lang w:val="da-DK"/>
        </w:rPr>
        <w:t>op til</w:t>
      </w:r>
      <w:r w:rsidR="00A02D9B" w:rsidRPr="00C35CA6">
        <w:rPr>
          <w:lang w:val="da-DK"/>
        </w:rPr>
        <w:t xml:space="preserve"> </w:t>
      </w:r>
      <w:r w:rsidRPr="00667130">
        <w:rPr>
          <w:snapToGrid w:val="0"/>
          <w:lang w:val="da-DK"/>
        </w:rPr>
        <w:t>1 ud af 1 000),</w:t>
      </w:r>
      <w:r w:rsidR="00CC5052">
        <w:rPr>
          <w:snapToGrid w:val="0"/>
          <w:lang w:val="da-DK"/>
        </w:rPr>
        <w:t xml:space="preserve"> </w:t>
      </w:r>
      <w:r w:rsidRPr="00667130">
        <w:rPr>
          <w:snapToGrid w:val="0"/>
          <w:lang w:val="da-DK"/>
        </w:rPr>
        <w:t>omfatter:</w:t>
      </w:r>
    </w:p>
    <w:p w14:paraId="28ED8258" w14:textId="2C8E5C56" w:rsidR="00667130" w:rsidRPr="00667130" w:rsidRDefault="00667130" w:rsidP="00CC5052">
      <w:pPr>
        <w:pStyle w:val="a3"/>
        <w:widowControl/>
        <w:numPr>
          <w:ilvl w:val="0"/>
          <w:numId w:val="29"/>
        </w:numPr>
        <w:adjustRightInd w:val="0"/>
        <w:snapToGrid w:val="0"/>
        <w:ind w:left="567" w:hanging="567"/>
        <w:rPr>
          <w:snapToGrid w:val="0"/>
          <w:lang w:val="da-DK"/>
        </w:rPr>
      </w:pPr>
      <w:r w:rsidRPr="00667130">
        <w:rPr>
          <w:snapToGrid w:val="0"/>
          <w:lang w:val="da-DK"/>
        </w:rPr>
        <w:t>pludselige alvorlige allergiske reaktioner med vejrtrækningsproblemer, hævelse, ørhed, hurtig</w:t>
      </w:r>
      <w:r>
        <w:rPr>
          <w:rFonts w:eastAsia="맑은 고딕" w:hint="eastAsia"/>
          <w:snapToGrid w:val="0"/>
          <w:lang w:val="da-DK" w:eastAsia="ko-KR"/>
        </w:rPr>
        <w:t xml:space="preserve"> </w:t>
      </w:r>
      <w:r w:rsidRPr="00667130">
        <w:rPr>
          <w:snapToGrid w:val="0"/>
          <w:lang w:val="da-DK"/>
        </w:rPr>
        <w:t>hjerterytme, svedudbrud og bevidstløshed (anafylaktisk shock)</w:t>
      </w:r>
      <w:r w:rsidR="00D7140B">
        <w:rPr>
          <w:snapToGrid w:val="0"/>
          <w:lang w:val="da-DK"/>
        </w:rPr>
        <w:t>.</w:t>
      </w:r>
    </w:p>
    <w:p w14:paraId="4AAE4AE5" w14:textId="77777777" w:rsidR="00667130" w:rsidRDefault="00667130" w:rsidP="00667130">
      <w:pPr>
        <w:pStyle w:val="a3"/>
        <w:widowControl/>
        <w:adjustRightInd w:val="0"/>
        <w:snapToGrid w:val="0"/>
        <w:rPr>
          <w:snapToGrid w:val="0"/>
          <w:lang w:val="da-DK"/>
        </w:rPr>
      </w:pPr>
    </w:p>
    <w:p w14:paraId="54F70514" w14:textId="485080B3" w:rsidR="003563EF" w:rsidRPr="001278B6" w:rsidRDefault="00473235" w:rsidP="001278B6">
      <w:pPr>
        <w:pStyle w:val="a3"/>
        <w:widowControl/>
        <w:adjustRightInd w:val="0"/>
        <w:snapToGrid w:val="0"/>
        <w:rPr>
          <w:snapToGrid w:val="0"/>
          <w:lang w:val="da-DK"/>
        </w:rPr>
      </w:pPr>
      <w:r w:rsidRPr="001278B6">
        <w:rPr>
          <w:snapToGrid w:val="0"/>
          <w:lang w:val="da-DK"/>
        </w:rPr>
        <w:t xml:space="preserve">Alvorlige bivirkninger med </w:t>
      </w:r>
      <w:r w:rsidRPr="001278B6">
        <w:rPr>
          <w:b/>
          <w:snapToGrid w:val="0"/>
          <w:lang w:val="da-DK"/>
        </w:rPr>
        <w:t xml:space="preserve">ukendt </w:t>
      </w:r>
      <w:r w:rsidRPr="001278B6">
        <w:rPr>
          <w:snapToGrid w:val="0"/>
          <w:lang w:val="da-DK"/>
        </w:rPr>
        <w:t>hyppighed (hyppigheden kan ikke vurderes ud fra tilgængelige data) omfatter:</w:t>
      </w:r>
    </w:p>
    <w:p w14:paraId="238AAADB" w14:textId="047E3BAE" w:rsidR="003563EF" w:rsidRPr="001278B6" w:rsidRDefault="00473235" w:rsidP="001278B6">
      <w:pPr>
        <w:pStyle w:val="Bullet1"/>
        <w:widowControl/>
        <w:rPr>
          <w:lang w:val="da-DK"/>
        </w:rPr>
      </w:pPr>
      <w:r w:rsidRPr="001278B6">
        <w:rPr>
          <w:lang w:val="da-DK"/>
        </w:rPr>
        <w:t>alvorlige infektioner i huden eller underliggende lag, især hvis du har haft huller i tarmvæggen eller problemer med sårheling</w:t>
      </w:r>
      <w:r w:rsidR="00D7140B">
        <w:rPr>
          <w:lang w:val="da-DK"/>
        </w:rPr>
        <w:t>,</w:t>
      </w:r>
    </w:p>
    <w:p w14:paraId="5D2F2DFA" w14:textId="7F10ECEE" w:rsidR="003563EF" w:rsidRPr="001278B6" w:rsidRDefault="00473235" w:rsidP="001278B6">
      <w:pPr>
        <w:pStyle w:val="Bullet1"/>
        <w:widowControl/>
        <w:rPr>
          <w:lang w:val="da-DK"/>
        </w:rPr>
      </w:pPr>
      <w:r w:rsidRPr="001278B6">
        <w:rPr>
          <w:lang w:val="da-DK"/>
        </w:rPr>
        <w:t>negativ påvirkning af kvinders evne til at få børn (for yderligere anbefalinger se nedenfor efter bivirkningslisten)</w:t>
      </w:r>
      <w:r w:rsidR="00D7140B">
        <w:rPr>
          <w:lang w:val="da-DK"/>
        </w:rPr>
        <w:t>,</w:t>
      </w:r>
    </w:p>
    <w:p w14:paraId="7603C827" w14:textId="77777777" w:rsidR="003563EF" w:rsidRPr="001278B6" w:rsidRDefault="00473235" w:rsidP="001278B6">
      <w:pPr>
        <w:pStyle w:val="Bullet1"/>
        <w:widowControl/>
        <w:rPr>
          <w:lang w:val="da-DK"/>
        </w:rPr>
      </w:pPr>
      <w:r w:rsidRPr="001278B6">
        <w:rPr>
          <w:lang w:val="da-DK"/>
        </w:rPr>
        <w:lastRenderedPageBreak/>
        <w:t>tilstand i hjernen (posteriort reversibelt encefalopati syndrom) med symptomer såsom kramper, hovedpine, forvirring og synsforstyrrelser,</w:t>
      </w:r>
    </w:p>
    <w:p w14:paraId="0A22756F" w14:textId="77777777" w:rsidR="003563EF" w:rsidRPr="001278B6" w:rsidRDefault="00473235" w:rsidP="001278B6">
      <w:pPr>
        <w:pStyle w:val="Bullet1"/>
        <w:widowControl/>
        <w:rPr>
          <w:lang w:val="da-DK"/>
        </w:rPr>
      </w:pPr>
      <w:r w:rsidRPr="001278B6">
        <w:rPr>
          <w:lang w:val="da-DK"/>
        </w:rPr>
        <w:t>symptomer, som tyder på ændringer i den normale hjernefunktion (hovedpine, synsforstyrrelser, forvirring eller kramper) og højt blodtryk,</w:t>
      </w:r>
    </w:p>
    <w:p w14:paraId="66FFE123" w14:textId="77777777" w:rsidR="003563EF" w:rsidRPr="001278B6" w:rsidRDefault="00473235" w:rsidP="001278B6">
      <w:pPr>
        <w:pStyle w:val="Bullet1"/>
        <w:widowControl/>
        <w:rPr>
          <w:lang w:val="da-DK"/>
        </w:rPr>
      </w:pPr>
      <w:r w:rsidRPr="001278B6">
        <w:rPr>
          <w:lang w:val="da-DK"/>
        </w:rPr>
        <w:t>en udvidelse og svækkelse af en blodårevæg eller en rift i en blodårevæg (aneurismer og arterielle dissektioner),</w:t>
      </w:r>
    </w:p>
    <w:p w14:paraId="016CF64D" w14:textId="77777777" w:rsidR="003563EF" w:rsidRPr="001278B6" w:rsidRDefault="00473235" w:rsidP="001278B6">
      <w:pPr>
        <w:pStyle w:val="Bullet1"/>
        <w:widowControl/>
        <w:rPr>
          <w:lang w:val="da-DK"/>
        </w:rPr>
      </w:pPr>
      <w:r w:rsidRPr="001278B6">
        <w:rPr>
          <w:lang w:val="da-DK"/>
        </w:rPr>
        <w:t>tilstopning af meget små blodårer i nyrerne,</w:t>
      </w:r>
    </w:p>
    <w:p w14:paraId="4C31A1BE" w14:textId="77777777" w:rsidR="003563EF" w:rsidRPr="001278B6" w:rsidRDefault="00473235" w:rsidP="001278B6">
      <w:pPr>
        <w:pStyle w:val="Bullet1"/>
        <w:widowControl/>
        <w:rPr>
          <w:lang w:val="da-DK"/>
        </w:rPr>
      </w:pPr>
      <w:r w:rsidRPr="001278B6">
        <w:rPr>
          <w:lang w:val="da-DK"/>
        </w:rPr>
        <w:t>abnormt højt blodtryk i lungernes blodårer, som forårsager, at højre side af hjertet arbejder hårdere end normalt,</w:t>
      </w:r>
    </w:p>
    <w:p w14:paraId="2716D197" w14:textId="77777777" w:rsidR="003563EF" w:rsidRPr="001278B6" w:rsidRDefault="00473235" w:rsidP="001278B6">
      <w:pPr>
        <w:pStyle w:val="Bullet1"/>
        <w:widowControl/>
        <w:rPr>
          <w:lang w:val="da-DK"/>
        </w:rPr>
      </w:pPr>
      <w:r w:rsidRPr="001278B6">
        <w:rPr>
          <w:lang w:val="da-DK"/>
        </w:rPr>
        <w:t>hul i skillevæggen mellem de to næsebor,</w:t>
      </w:r>
    </w:p>
    <w:p w14:paraId="31734B73" w14:textId="77777777" w:rsidR="003563EF" w:rsidRPr="001278B6" w:rsidRDefault="00473235" w:rsidP="001278B6">
      <w:pPr>
        <w:pStyle w:val="Bullet1"/>
        <w:widowControl/>
        <w:rPr>
          <w:lang w:val="da-DK"/>
        </w:rPr>
      </w:pPr>
      <w:r w:rsidRPr="001278B6">
        <w:rPr>
          <w:lang w:val="da-DK"/>
        </w:rPr>
        <w:t>hul i maven eller tarmen</w:t>
      </w:r>
    </w:p>
    <w:p w14:paraId="2F223A18" w14:textId="77777777" w:rsidR="003563EF" w:rsidRPr="001278B6" w:rsidRDefault="00473235" w:rsidP="001278B6">
      <w:pPr>
        <w:pStyle w:val="Bullet1"/>
        <w:widowControl/>
        <w:rPr>
          <w:lang w:val="da-DK"/>
        </w:rPr>
      </w:pPr>
      <w:r w:rsidRPr="001278B6">
        <w:rPr>
          <w:lang w:val="da-DK"/>
        </w:rPr>
        <w:t>åbent sår eller hul i slimhinderne i maven eller tyndtarmen (symptomer kan være mavesmerter, oppustethed, sort tjæreagtig afføring eller blod i afføringen eller blod i opkast),</w:t>
      </w:r>
    </w:p>
    <w:p w14:paraId="4F1B70DA" w14:textId="77777777" w:rsidR="003563EF" w:rsidRPr="001278B6" w:rsidRDefault="00473235" w:rsidP="001278B6">
      <w:pPr>
        <w:pStyle w:val="Bullet1"/>
        <w:widowControl/>
        <w:rPr>
          <w:lang w:val="da-DK"/>
        </w:rPr>
      </w:pPr>
      <w:r w:rsidRPr="001278B6">
        <w:rPr>
          <w:lang w:val="da-DK"/>
        </w:rPr>
        <w:t>blødning fra den nedre del af tyktarmen</w:t>
      </w:r>
    </w:p>
    <w:p w14:paraId="6AC535A2" w14:textId="77777777" w:rsidR="003563EF" w:rsidRPr="001278B6" w:rsidRDefault="00473235" w:rsidP="001278B6">
      <w:pPr>
        <w:pStyle w:val="Bullet1"/>
        <w:widowControl/>
        <w:rPr>
          <w:lang w:val="da-DK"/>
        </w:rPr>
      </w:pPr>
      <w:r w:rsidRPr="001278B6">
        <w:rPr>
          <w:lang w:val="da-DK"/>
        </w:rPr>
        <w:t>skader i tandkødet med en blotlagt kæbeknogle, der ikke heler; kan være forbundet med smerter og inflammation (betændelseslignende tilstand) i det omgivende væv (for yderligere anbefalinger se nedenfor efter bivirkningslisten),</w:t>
      </w:r>
    </w:p>
    <w:p w14:paraId="2AA76AE9" w14:textId="731E1C8F" w:rsidR="003563EF" w:rsidRPr="001278B6" w:rsidRDefault="00473235" w:rsidP="001278B6">
      <w:pPr>
        <w:pStyle w:val="Bullet1"/>
        <w:widowControl/>
        <w:rPr>
          <w:lang w:val="da-DK"/>
        </w:rPr>
      </w:pPr>
      <w:r w:rsidRPr="001278B6">
        <w:rPr>
          <w:lang w:val="da-DK"/>
        </w:rPr>
        <w:t>hul i galdeblæren (symptomer kan være mavesmerter, feber og kvalme/opkastning)</w:t>
      </w:r>
      <w:r w:rsidR="00D7140B">
        <w:rPr>
          <w:lang w:val="da-DK"/>
        </w:rPr>
        <w:t>.</w:t>
      </w:r>
    </w:p>
    <w:p w14:paraId="73BD2536" w14:textId="77777777" w:rsidR="0079124A" w:rsidRPr="001278B6" w:rsidRDefault="0079124A" w:rsidP="001278B6">
      <w:pPr>
        <w:widowControl/>
        <w:adjustRightInd w:val="0"/>
        <w:snapToGrid w:val="0"/>
        <w:rPr>
          <w:snapToGrid w:val="0"/>
          <w:lang w:val="da-DK"/>
        </w:rPr>
      </w:pPr>
    </w:p>
    <w:p w14:paraId="3A498E24" w14:textId="77777777" w:rsidR="003563EF" w:rsidRPr="00747393" w:rsidRDefault="00473235" w:rsidP="00747393">
      <w:pPr>
        <w:rPr>
          <w:b/>
          <w:bCs/>
          <w:snapToGrid w:val="0"/>
          <w:lang w:val="da-DK"/>
        </w:rPr>
      </w:pPr>
      <w:r w:rsidRPr="00747393">
        <w:rPr>
          <w:b/>
          <w:bCs/>
          <w:snapToGrid w:val="0"/>
          <w:lang w:val="da-DK"/>
        </w:rPr>
        <w:t>Du skal søge hjælp så hurtigt som muligt, hvis du får en af nedenfor nævnte bivirkninger.</w:t>
      </w:r>
    </w:p>
    <w:p w14:paraId="32DEC8EE" w14:textId="77777777" w:rsidR="003563EF" w:rsidRPr="001278B6" w:rsidRDefault="003563EF" w:rsidP="001278B6">
      <w:pPr>
        <w:pStyle w:val="a3"/>
        <w:widowControl/>
        <w:adjustRightInd w:val="0"/>
        <w:snapToGrid w:val="0"/>
        <w:rPr>
          <w:b/>
          <w:snapToGrid w:val="0"/>
          <w:lang w:val="da-DK"/>
        </w:rPr>
      </w:pPr>
    </w:p>
    <w:p w14:paraId="27CF21BD" w14:textId="672D81BC" w:rsidR="003563EF" w:rsidRPr="001278B6" w:rsidRDefault="00473235" w:rsidP="001278B6">
      <w:pPr>
        <w:keepNext/>
        <w:keepLines/>
        <w:widowControl/>
        <w:adjustRightInd w:val="0"/>
        <w:snapToGrid w:val="0"/>
        <w:rPr>
          <w:snapToGrid w:val="0"/>
          <w:lang w:val="da-DK"/>
        </w:rPr>
      </w:pPr>
      <w:r w:rsidRPr="001278B6">
        <w:rPr>
          <w:b/>
          <w:snapToGrid w:val="0"/>
          <w:lang w:val="da-DK"/>
        </w:rPr>
        <w:t xml:space="preserve">Meget almindelige bivirkninger </w:t>
      </w:r>
      <w:r w:rsidRPr="001278B6">
        <w:rPr>
          <w:snapToGrid w:val="0"/>
          <w:lang w:val="da-DK"/>
        </w:rPr>
        <w:t>(</w:t>
      </w:r>
      <w:r w:rsidR="00EC6713">
        <w:rPr>
          <w:snapToGrid w:val="0"/>
          <w:lang w:val="da-DK"/>
        </w:rPr>
        <w:t xml:space="preserve">kan </w:t>
      </w:r>
      <w:r w:rsidRPr="001278B6">
        <w:rPr>
          <w:snapToGrid w:val="0"/>
          <w:lang w:val="da-DK"/>
        </w:rPr>
        <w:t>påvirke flere end 1 patient ud af 10)</w:t>
      </w:r>
      <w:r w:rsidRPr="001278B6">
        <w:rPr>
          <w:b/>
          <w:snapToGrid w:val="0"/>
          <w:lang w:val="da-DK"/>
        </w:rPr>
        <w:t xml:space="preserve">, </w:t>
      </w:r>
      <w:r w:rsidRPr="001278B6">
        <w:rPr>
          <w:snapToGrid w:val="0"/>
          <w:lang w:val="da-DK"/>
        </w:rPr>
        <w:t>som ikke var alvorlige, omfatter:</w:t>
      </w:r>
    </w:p>
    <w:p w14:paraId="504E09E1" w14:textId="77777777" w:rsidR="003563EF" w:rsidRPr="001278B6" w:rsidRDefault="00473235" w:rsidP="001278B6">
      <w:pPr>
        <w:pStyle w:val="Bullet1"/>
        <w:widowControl/>
        <w:rPr>
          <w:lang w:val="da-DK"/>
        </w:rPr>
      </w:pPr>
      <w:r w:rsidRPr="001278B6">
        <w:rPr>
          <w:lang w:val="da-DK"/>
        </w:rPr>
        <w:t>forstoppelse,</w:t>
      </w:r>
    </w:p>
    <w:p w14:paraId="5CDDDBBF" w14:textId="77777777" w:rsidR="003563EF" w:rsidRPr="001278B6" w:rsidRDefault="00473235" w:rsidP="001278B6">
      <w:pPr>
        <w:pStyle w:val="Bullet1"/>
        <w:widowControl/>
        <w:rPr>
          <w:lang w:val="da-DK"/>
        </w:rPr>
      </w:pPr>
      <w:r w:rsidRPr="001278B6">
        <w:rPr>
          <w:lang w:val="da-DK"/>
        </w:rPr>
        <w:t>tab af appetit,</w:t>
      </w:r>
    </w:p>
    <w:p w14:paraId="46441484" w14:textId="77777777" w:rsidR="003563EF" w:rsidRPr="001278B6" w:rsidRDefault="00473235" w:rsidP="001278B6">
      <w:pPr>
        <w:pStyle w:val="Bullet1"/>
        <w:widowControl/>
        <w:rPr>
          <w:lang w:val="da-DK"/>
        </w:rPr>
      </w:pPr>
      <w:r w:rsidRPr="001278B6">
        <w:rPr>
          <w:lang w:val="da-DK"/>
        </w:rPr>
        <w:t>feber,</w:t>
      </w:r>
    </w:p>
    <w:p w14:paraId="3CD3D589" w14:textId="77777777" w:rsidR="003563EF" w:rsidRPr="001278B6" w:rsidRDefault="00473235" w:rsidP="001278B6">
      <w:pPr>
        <w:pStyle w:val="Bullet1"/>
        <w:widowControl/>
        <w:rPr>
          <w:lang w:val="da-DK"/>
        </w:rPr>
      </w:pPr>
      <w:r w:rsidRPr="001278B6">
        <w:rPr>
          <w:lang w:val="da-DK"/>
        </w:rPr>
        <w:t>problemer med øjnene (inklusive øget tåreproduktion),</w:t>
      </w:r>
    </w:p>
    <w:p w14:paraId="25B3AA7C" w14:textId="77777777" w:rsidR="003563EF" w:rsidRPr="001278B6" w:rsidRDefault="00473235" w:rsidP="001278B6">
      <w:pPr>
        <w:pStyle w:val="Bullet1"/>
        <w:widowControl/>
        <w:rPr>
          <w:lang w:val="da-DK"/>
        </w:rPr>
      </w:pPr>
      <w:r w:rsidRPr="001278B6">
        <w:rPr>
          <w:lang w:val="da-DK"/>
        </w:rPr>
        <w:t>taleforstyrrelser,</w:t>
      </w:r>
    </w:p>
    <w:p w14:paraId="78A015FC" w14:textId="77777777" w:rsidR="003563EF" w:rsidRPr="001278B6" w:rsidRDefault="00473235" w:rsidP="001278B6">
      <w:pPr>
        <w:pStyle w:val="Bullet1"/>
        <w:widowControl/>
        <w:rPr>
          <w:lang w:val="da-DK"/>
        </w:rPr>
      </w:pPr>
      <w:r w:rsidRPr="001278B6">
        <w:rPr>
          <w:lang w:val="da-DK"/>
        </w:rPr>
        <w:t>smagsforstyrrelser,</w:t>
      </w:r>
    </w:p>
    <w:p w14:paraId="30785491" w14:textId="77777777" w:rsidR="003563EF" w:rsidRPr="001278B6" w:rsidRDefault="00473235" w:rsidP="001278B6">
      <w:pPr>
        <w:pStyle w:val="Bullet1"/>
        <w:widowControl/>
        <w:rPr>
          <w:lang w:val="da-DK"/>
        </w:rPr>
      </w:pPr>
      <w:r w:rsidRPr="001278B6">
        <w:rPr>
          <w:lang w:val="da-DK"/>
        </w:rPr>
        <w:t>løbende næse,</w:t>
      </w:r>
    </w:p>
    <w:p w14:paraId="1351076F" w14:textId="77777777" w:rsidR="003563EF" w:rsidRPr="001278B6" w:rsidRDefault="00473235" w:rsidP="001278B6">
      <w:pPr>
        <w:pStyle w:val="Bullet1"/>
        <w:widowControl/>
        <w:rPr>
          <w:lang w:val="da-DK"/>
        </w:rPr>
      </w:pPr>
      <w:r w:rsidRPr="001278B6">
        <w:rPr>
          <w:lang w:val="da-DK"/>
        </w:rPr>
        <w:t>tør hud, afskalning og inflammation (betændelseslignende tilstand) i huden, misfarvning af huden,</w:t>
      </w:r>
    </w:p>
    <w:p w14:paraId="2696EF1D" w14:textId="63BC1665" w:rsidR="003563EF" w:rsidRPr="001278B6" w:rsidRDefault="00473235" w:rsidP="001278B6">
      <w:pPr>
        <w:pStyle w:val="Bullet1"/>
        <w:widowControl/>
        <w:rPr>
          <w:lang w:val="da-DK"/>
        </w:rPr>
      </w:pPr>
      <w:r w:rsidRPr="001278B6">
        <w:rPr>
          <w:lang w:val="da-DK"/>
        </w:rPr>
        <w:t>vægttab</w:t>
      </w:r>
      <w:r w:rsidR="00D7140B">
        <w:rPr>
          <w:lang w:val="da-DK"/>
        </w:rPr>
        <w:t>,</w:t>
      </w:r>
    </w:p>
    <w:p w14:paraId="075FF172" w14:textId="48F913BF" w:rsidR="003563EF" w:rsidRPr="001278B6" w:rsidRDefault="00473235" w:rsidP="001278B6">
      <w:pPr>
        <w:pStyle w:val="Bullet1"/>
        <w:widowControl/>
        <w:rPr>
          <w:lang w:val="da-DK"/>
        </w:rPr>
      </w:pPr>
      <w:r w:rsidRPr="001278B6">
        <w:rPr>
          <w:lang w:val="da-DK"/>
        </w:rPr>
        <w:t>næseblod</w:t>
      </w:r>
      <w:r w:rsidR="00D7140B">
        <w:rPr>
          <w:lang w:val="da-DK"/>
        </w:rPr>
        <w:t>.</w:t>
      </w:r>
    </w:p>
    <w:p w14:paraId="06BE67F4" w14:textId="77777777" w:rsidR="003563EF" w:rsidRPr="001278B6" w:rsidRDefault="003563EF" w:rsidP="001278B6">
      <w:pPr>
        <w:pStyle w:val="a3"/>
        <w:widowControl/>
        <w:adjustRightInd w:val="0"/>
        <w:snapToGrid w:val="0"/>
        <w:rPr>
          <w:snapToGrid w:val="0"/>
          <w:lang w:val="da-DK"/>
        </w:rPr>
      </w:pPr>
    </w:p>
    <w:p w14:paraId="51A69E55" w14:textId="3D04F905" w:rsidR="003563EF" w:rsidRPr="001278B6" w:rsidRDefault="00473235" w:rsidP="001278B6">
      <w:pPr>
        <w:keepNext/>
        <w:keepLines/>
        <w:widowControl/>
        <w:adjustRightInd w:val="0"/>
        <w:snapToGrid w:val="0"/>
        <w:rPr>
          <w:snapToGrid w:val="0"/>
          <w:lang w:val="da-DK"/>
        </w:rPr>
      </w:pPr>
      <w:r w:rsidRPr="001278B6">
        <w:rPr>
          <w:b/>
          <w:snapToGrid w:val="0"/>
          <w:lang w:val="da-DK"/>
        </w:rPr>
        <w:t xml:space="preserve">Almindelige bivirkninger </w:t>
      </w:r>
      <w:r w:rsidRPr="001278B6">
        <w:rPr>
          <w:snapToGrid w:val="0"/>
          <w:lang w:val="da-DK"/>
        </w:rPr>
        <w:t>(</w:t>
      </w:r>
      <w:r w:rsidR="00EC6713">
        <w:rPr>
          <w:snapToGrid w:val="0"/>
          <w:lang w:val="da-DK"/>
        </w:rPr>
        <w:t xml:space="preserve">kan </w:t>
      </w:r>
      <w:r w:rsidRPr="001278B6">
        <w:rPr>
          <w:snapToGrid w:val="0"/>
          <w:lang w:val="da-DK"/>
        </w:rPr>
        <w:t xml:space="preserve">påvirke </w:t>
      </w:r>
      <w:r w:rsidR="007F62A8">
        <w:rPr>
          <w:lang w:val="da-DK"/>
        </w:rPr>
        <w:t>op til</w:t>
      </w:r>
      <w:r w:rsidR="007F62A8" w:rsidRPr="00C35CA6">
        <w:rPr>
          <w:lang w:val="da-DK"/>
        </w:rPr>
        <w:t xml:space="preserve"> </w:t>
      </w:r>
      <w:r w:rsidRPr="001278B6">
        <w:rPr>
          <w:snapToGrid w:val="0"/>
          <w:lang w:val="da-DK"/>
        </w:rPr>
        <w:t xml:space="preserve">1 </w:t>
      </w:r>
      <w:r w:rsidR="007F62A8">
        <w:rPr>
          <w:snapToGrid w:val="0"/>
          <w:lang w:val="da-DK"/>
        </w:rPr>
        <w:t>ud af</w:t>
      </w:r>
      <w:r w:rsidRPr="001278B6">
        <w:rPr>
          <w:snapToGrid w:val="0"/>
          <w:lang w:val="da-DK"/>
        </w:rPr>
        <w:t xml:space="preserve"> 10)</w:t>
      </w:r>
      <w:r w:rsidRPr="001278B6">
        <w:rPr>
          <w:b/>
          <w:snapToGrid w:val="0"/>
          <w:lang w:val="da-DK"/>
        </w:rPr>
        <w:t xml:space="preserve">, </w:t>
      </w:r>
      <w:r w:rsidRPr="001278B6">
        <w:rPr>
          <w:snapToGrid w:val="0"/>
          <w:lang w:val="da-DK"/>
        </w:rPr>
        <w:t>som ikke er alvorlige, omfatter:</w:t>
      </w:r>
    </w:p>
    <w:p w14:paraId="0015008B" w14:textId="77777777" w:rsidR="003563EF" w:rsidRPr="001278B6" w:rsidRDefault="00473235" w:rsidP="001278B6">
      <w:pPr>
        <w:pStyle w:val="Bullet1"/>
        <w:widowControl/>
        <w:rPr>
          <w:lang w:val="da-DK"/>
        </w:rPr>
      </w:pPr>
      <w:r w:rsidRPr="001278B6">
        <w:rPr>
          <w:lang w:val="da-DK"/>
        </w:rPr>
        <w:t>ændringer i stemmen og hæshed.</w:t>
      </w:r>
    </w:p>
    <w:p w14:paraId="40C289EC" w14:textId="77777777" w:rsidR="003563EF" w:rsidRPr="001278B6" w:rsidRDefault="003563EF" w:rsidP="001278B6">
      <w:pPr>
        <w:pStyle w:val="a3"/>
        <w:widowControl/>
        <w:adjustRightInd w:val="0"/>
        <w:snapToGrid w:val="0"/>
        <w:rPr>
          <w:snapToGrid w:val="0"/>
          <w:lang w:val="da-DK"/>
        </w:rPr>
      </w:pPr>
    </w:p>
    <w:p w14:paraId="0231E9C6" w14:textId="77777777" w:rsidR="003563EF" w:rsidRPr="001278B6" w:rsidRDefault="00473235" w:rsidP="001278B6">
      <w:pPr>
        <w:pStyle w:val="a3"/>
        <w:widowControl/>
        <w:adjustRightInd w:val="0"/>
        <w:snapToGrid w:val="0"/>
        <w:rPr>
          <w:snapToGrid w:val="0"/>
          <w:lang w:val="da-DK"/>
        </w:rPr>
      </w:pPr>
      <w:r w:rsidRPr="001278B6">
        <w:rPr>
          <w:snapToGrid w:val="0"/>
          <w:lang w:val="da-DK"/>
        </w:rPr>
        <w:t>Patienter over 65 år har øget risiko for at få følgende bivirkninger:</w:t>
      </w:r>
    </w:p>
    <w:p w14:paraId="4FE1F32C" w14:textId="77777777" w:rsidR="003563EF" w:rsidRPr="001278B6" w:rsidRDefault="00473235" w:rsidP="001278B6">
      <w:pPr>
        <w:pStyle w:val="Bullet1"/>
        <w:widowControl/>
        <w:rPr>
          <w:lang w:val="da-DK"/>
        </w:rPr>
      </w:pPr>
      <w:r w:rsidRPr="001278B6">
        <w:rPr>
          <w:lang w:val="da-DK"/>
        </w:rPr>
        <w:t>blodprop i arterierne, som kan resultere i slagtilfælde eller hjertetilfælde,</w:t>
      </w:r>
    </w:p>
    <w:p w14:paraId="2A3AB934" w14:textId="77777777" w:rsidR="003563EF" w:rsidRPr="001278B6" w:rsidRDefault="00473235" w:rsidP="001278B6">
      <w:pPr>
        <w:pStyle w:val="Bullet1"/>
        <w:widowControl/>
        <w:rPr>
          <w:lang w:val="da-DK"/>
        </w:rPr>
      </w:pPr>
      <w:r w:rsidRPr="001278B6">
        <w:rPr>
          <w:lang w:val="da-DK"/>
        </w:rPr>
        <w:t>reduktion i antallet af hvide blodceller i blodet og i antallet af celler, der hjælper blodet med at størkne,</w:t>
      </w:r>
    </w:p>
    <w:p w14:paraId="29DFBEAF" w14:textId="77777777" w:rsidR="003563EF" w:rsidRPr="001278B6" w:rsidRDefault="00473235" w:rsidP="001278B6">
      <w:pPr>
        <w:pStyle w:val="Bullet1"/>
        <w:widowControl/>
        <w:rPr>
          <w:lang w:val="da-DK"/>
        </w:rPr>
      </w:pPr>
      <w:r w:rsidRPr="001278B6">
        <w:rPr>
          <w:lang w:val="da-DK"/>
        </w:rPr>
        <w:t>diarré,</w:t>
      </w:r>
    </w:p>
    <w:p w14:paraId="07A2FB4C" w14:textId="77777777" w:rsidR="003563EF" w:rsidRPr="001278B6" w:rsidRDefault="00473235" w:rsidP="001278B6">
      <w:pPr>
        <w:pStyle w:val="Bullet1"/>
        <w:widowControl/>
        <w:rPr>
          <w:lang w:val="da-DK"/>
        </w:rPr>
      </w:pPr>
      <w:r w:rsidRPr="001278B6">
        <w:rPr>
          <w:lang w:val="da-DK"/>
        </w:rPr>
        <w:t>kvalme,</w:t>
      </w:r>
    </w:p>
    <w:p w14:paraId="128F3D2C" w14:textId="77777777" w:rsidR="003563EF" w:rsidRPr="001278B6" w:rsidRDefault="00473235" w:rsidP="001278B6">
      <w:pPr>
        <w:pStyle w:val="Bullet1"/>
        <w:widowControl/>
        <w:rPr>
          <w:lang w:val="da-DK"/>
        </w:rPr>
      </w:pPr>
      <w:r w:rsidRPr="001278B6">
        <w:rPr>
          <w:lang w:val="da-DK"/>
        </w:rPr>
        <w:t>hovedpine,</w:t>
      </w:r>
    </w:p>
    <w:p w14:paraId="1C2A7B0E" w14:textId="77777777" w:rsidR="003563EF" w:rsidRPr="001278B6" w:rsidRDefault="00473235" w:rsidP="001278B6">
      <w:pPr>
        <w:pStyle w:val="Bullet1"/>
        <w:widowControl/>
        <w:rPr>
          <w:lang w:val="da-DK"/>
        </w:rPr>
      </w:pPr>
      <w:r w:rsidRPr="001278B6">
        <w:rPr>
          <w:lang w:val="da-DK"/>
        </w:rPr>
        <w:t>træthed,</w:t>
      </w:r>
    </w:p>
    <w:p w14:paraId="24BF9929" w14:textId="77777777" w:rsidR="003563EF" w:rsidRPr="001278B6" w:rsidRDefault="00473235" w:rsidP="001278B6">
      <w:pPr>
        <w:pStyle w:val="Bullet1"/>
        <w:widowControl/>
        <w:rPr>
          <w:lang w:val="da-DK"/>
        </w:rPr>
      </w:pPr>
      <w:r w:rsidRPr="001278B6">
        <w:rPr>
          <w:lang w:val="da-DK"/>
        </w:rPr>
        <w:t>forhøjet blodtryk.</w:t>
      </w:r>
    </w:p>
    <w:p w14:paraId="656381E6" w14:textId="77777777" w:rsidR="003563EF" w:rsidRPr="001278B6" w:rsidRDefault="003563EF" w:rsidP="001278B6">
      <w:pPr>
        <w:pStyle w:val="a3"/>
        <w:widowControl/>
        <w:adjustRightInd w:val="0"/>
        <w:snapToGrid w:val="0"/>
        <w:rPr>
          <w:snapToGrid w:val="0"/>
          <w:lang w:val="da-DK"/>
        </w:rPr>
      </w:pPr>
    </w:p>
    <w:p w14:paraId="357B43C0" w14:textId="34100733"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kan også forårsage ændringer i de laboratorieundersøgelser, som din læge foretager. Disse inkluderer: Nedsat antal hvide blodceller, specielt neutrofile (en type hvide blodceller, som hjælper mod infektioner), protein i urinen, nedsat kalium, nedsat natrium eller nedsat fosfor (mineral) i blodet, øget sukker i blodet, øget basisk fosfatase (et enzym) i blodet, forhøjet serum</w:t>
      </w:r>
      <w:r w:rsidR="004B3750">
        <w:rPr>
          <w:snapToGrid w:val="0"/>
          <w:lang w:val="da-DK"/>
        </w:rPr>
        <w:noBreakHyphen/>
      </w:r>
      <w:r w:rsidR="00473235" w:rsidRPr="001278B6">
        <w:rPr>
          <w:snapToGrid w:val="0"/>
          <w:lang w:val="da-DK"/>
        </w:rPr>
        <w:t>kreatinin (et protein, som måles ved en blodprøve og bruges til at vurdere din nyrefunktion), nedsat hæmoglobin (findes i røde blodceller, og som transporterer ilt), som kan være alvorlig.</w:t>
      </w:r>
    </w:p>
    <w:p w14:paraId="54E2E581" w14:textId="77777777" w:rsidR="003563EF" w:rsidRPr="001278B6" w:rsidRDefault="003563EF" w:rsidP="001278B6">
      <w:pPr>
        <w:pStyle w:val="a3"/>
        <w:widowControl/>
        <w:adjustRightInd w:val="0"/>
        <w:snapToGrid w:val="0"/>
        <w:rPr>
          <w:snapToGrid w:val="0"/>
          <w:lang w:val="da-DK"/>
        </w:rPr>
      </w:pPr>
    </w:p>
    <w:p w14:paraId="1F8B6E04"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Smerter i munden, tænderne og/eller kæben, hævelse eller sår inde i munden, følelsesløshed eller en følelse af tyngde i kæben eller løsnen af en tand. Dette kan være tegn og symptomer på knogleskade i </w:t>
      </w:r>
      <w:r w:rsidRPr="001278B6">
        <w:rPr>
          <w:snapToGrid w:val="0"/>
          <w:lang w:val="da-DK"/>
        </w:rPr>
        <w:lastRenderedPageBreak/>
        <w:t>kæben (osteonekrose). Fortæl straks din læge og tandlæge, hvis du oplever nogle af ovenstående symptomer.</w:t>
      </w:r>
    </w:p>
    <w:p w14:paraId="4308555D" w14:textId="77777777" w:rsidR="003563EF" w:rsidRPr="001278B6" w:rsidRDefault="003563EF" w:rsidP="001278B6">
      <w:pPr>
        <w:pStyle w:val="a3"/>
        <w:widowControl/>
        <w:adjustRightInd w:val="0"/>
        <w:snapToGrid w:val="0"/>
        <w:rPr>
          <w:snapToGrid w:val="0"/>
          <w:lang w:val="da-DK"/>
        </w:rPr>
      </w:pPr>
    </w:p>
    <w:p w14:paraId="31BF9652" w14:textId="77777777" w:rsidR="003563EF" w:rsidRPr="001278B6" w:rsidRDefault="00473235" w:rsidP="001278B6">
      <w:pPr>
        <w:pStyle w:val="a3"/>
        <w:widowControl/>
        <w:adjustRightInd w:val="0"/>
        <w:snapToGrid w:val="0"/>
        <w:rPr>
          <w:snapToGrid w:val="0"/>
          <w:lang w:val="da-DK"/>
        </w:rPr>
      </w:pPr>
      <w:r w:rsidRPr="001278B6">
        <w:rPr>
          <w:snapToGrid w:val="0"/>
          <w:lang w:val="da-DK"/>
        </w:rPr>
        <w:t>Kvinder, som ikke er kommet i overgangsalderen (kvinder, som har en menstruationscyklus) kan opleve, at deres menstruation bliver uregelmæssig eller udebliver, og at deres frugtbarhed bliver nedsat. Hvis du overvejer at få børn, skal du rådføre dig med din læge, før behandlingen påbegyndes.</w:t>
      </w:r>
    </w:p>
    <w:p w14:paraId="1DF690D9" w14:textId="77777777" w:rsidR="003563EF" w:rsidRPr="001278B6" w:rsidRDefault="003563EF" w:rsidP="001278B6">
      <w:pPr>
        <w:pStyle w:val="a3"/>
        <w:widowControl/>
        <w:adjustRightInd w:val="0"/>
        <w:snapToGrid w:val="0"/>
        <w:rPr>
          <w:snapToGrid w:val="0"/>
          <w:lang w:val="da-DK"/>
        </w:rPr>
      </w:pPr>
    </w:p>
    <w:p w14:paraId="171F8C22" w14:textId="65F106F7" w:rsidR="003563EF" w:rsidRPr="001278B6" w:rsidRDefault="00295FBB" w:rsidP="001278B6">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er blevet udviklet og fremstillet til behandling af kræft efter injektion i blodbanen. Det er ikke blevet udviklet eller fremstillet til injektion i øjet. Det er derfor ikke godkendt til anvendelse på denne måde. Hvis </w:t>
      </w:r>
      <w:r w:rsidR="00EC2040">
        <w:rPr>
          <w:snapToGrid w:val="0"/>
          <w:lang w:val="da-DK"/>
        </w:rPr>
        <w:t>bevacizumab</w:t>
      </w:r>
      <w:r w:rsidR="00473235" w:rsidRPr="001278B6">
        <w:rPr>
          <w:snapToGrid w:val="0"/>
          <w:lang w:val="da-DK"/>
        </w:rPr>
        <w:t xml:space="preserve"> injiceres direkte i øjet (ikke</w:t>
      </w:r>
      <w:r w:rsidR="004B3750">
        <w:rPr>
          <w:snapToGrid w:val="0"/>
          <w:lang w:val="da-DK"/>
        </w:rPr>
        <w:noBreakHyphen/>
      </w:r>
      <w:r w:rsidR="00473235" w:rsidRPr="001278B6">
        <w:rPr>
          <w:snapToGrid w:val="0"/>
          <w:lang w:val="da-DK"/>
        </w:rPr>
        <w:t>godkendt brug), kan følgende bivirkninger forekomme:</w:t>
      </w:r>
    </w:p>
    <w:p w14:paraId="304FA9C7" w14:textId="77777777" w:rsidR="003563EF" w:rsidRPr="00051658" w:rsidRDefault="00473235" w:rsidP="001278B6">
      <w:pPr>
        <w:pStyle w:val="Bullet1"/>
        <w:widowControl/>
        <w:rPr>
          <w:lang w:val="sv-SE"/>
        </w:rPr>
      </w:pPr>
      <w:r w:rsidRPr="00051658">
        <w:rPr>
          <w:lang w:val="sv-SE"/>
        </w:rPr>
        <w:t>infektion eller vævsirritation (inflammation) i øjeæblet,</w:t>
      </w:r>
    </w:p>
    <w:p w14:paraId="7B30FE52" w14:textId="77777777" w:rsidR="003563EF" w:rsidRPr="001278B6" w:rsidRDefault="00473235" w:rsidP="001278B6">
      <w:pPr>
        <w:pStyle w:val="Bullet1"/>
        <w:widowControl/>
        <w:rPr>
          <w:lang w:val="da-DK"/>
        </w:rPr>
      </w:pPr>
      <w:r w:rsidRPr="001278B6">
        <w:rPr>
          <w:lang w:val="da-DK"/>
        </w:rPr>
        <w:t>røde øjne, små partikler eller pletter i synsfeltet (”flyvende fluer”), øjensmerter,</w:t>
      </w:r>
    </w:p>
    <w:p w14:paraId="2199977D" w14:textId="77777777" w:rsidR="003563EF" w:rsidRPr="001278B6" w:rsidRDefault="00473235" w:rsidP="001278B6">
      <w:pPr>
        <w:pStyle w:val="Bullet1"/>
        <w:widowControl/>
        <w:rPr>
          <w:lang w:val="da-DK"/>
        </w:rPr>
      </w:pPr>
      <w:r w:rsidRPr="001278B6">
        <w:rPr>
          <w:lang w:val="da-DK"/>
        </w:rPr>
        <w:t>lysglimt, som bevæger sig som ”flyvende fluer”, og som udvikler sig til tab af noget af synet,</w:t>
      </w:r>
    </w:p>
    <w:p w14:paraId="1C554817" w14:textId="77777777" w:rsidR="003563EF" w:rsidRPr="001278B6" w:rsidRDefault="00473235" w:rsidP="001278B6">
      <w:pPr>
        <w:pStyle w:val="Bullet1"/>
        <w:widowControl/>
        <w:rPr>
          <w:lang w:val="da-DK"/>
        </w:rPr>
      </w:pPr>
      <w:r w:rsidRPr="001278B6">
        <w:rPr>
          <w:lang w:val="da-DK"/>
        </w:rPr>
        <w:t>forhøjet tryk i øjet,</w:t>
      </w:r>
    </w:p>
    <w:p w14:paraId="0EBB5E3E" w14:textId="77777777" w:rsidR="003563EF" w:rsidRPr="001278B6" w:rsidRDefault="00473235" w:rsidP="001278B6">
      <w:pPr>
        <w:pStyle w:val="Bullet1"/>
        <w:widowControl/>
        <w:rPr>
          <w:lang w:val="da-DK"/>
        </w:rPr>
      </w:pPr>
      <w:r w:rsidRPr="001278B6">
        <w:rPr>
          <w:lang w:val="da-DK"/>
        </w:rPr>
        <w:t>blødning i øjet.</w:t>
      </w:r>
    </w:p>
    <w:p w14:paraId="451B39BA" w14:textId="77777777" w:rsidR="0079124A" w:rsidRPr="001278B6" w:rsidRDefault="0079124A" w:rsidP="001278B6">
      <w:pPr>
        <w:widowControl/>
        <w:adjustRightInd w:val="0"/>
        <w:snapToGrid w:val="0"/>
        <w:rPr>
          <w:snapToGrid w:val="0"/>
          <w:lang w:val="da-DK"/>
        </w:rPr>
      </w:pPr>
    </w:p>
    <w:p w14:paraId="4082802B" w14:textId="77777777" w:rsidR="003563EF" w:rsidRPr="00747393" w:rsidRDefault="00473235" w:rsidP="00747393">
      <w:pPr>
        <w:rPr>
          <w:b/>
          <w:bCs/>
          <w:snapToGrid w:val="0"/>
          <w:lang w:val="da-DK"/>
        </w:rPr>
      </w:pPr>
      <w:r w:rsidRPr="00747393">
        <w:rPr>
          <w:b/>
          <w:bCs/>
          <w:snapToGrid w:val="0"/>
          <w:lang w:val="da-DK"/>
        </w:rPr>
        <w:t>Indberetning af bivirkninger</w:t>
      </w:r>
    </w:p>
    <w:p w14:paraId="697BC52A" w14:textId="77777777" w:rsidR="003563EF" w:rsidRPr="001278B6" w:rsidRDefault="00473235" w:rsidP="001278B6">
      <w:pPr>
        <w:pStyle w:val="a3"/>
        <w:widowControl/>
        <w:adjustRightInd w:val="0"/>
        <w:snapToGrid w:val="0"/>
        <w:rPr>
          <w:snapToGrid w:val="0"/>
          <w:lang w:val="da-DK"/>
        </w:rPr>
      </w:pPr>
      <w:r w:rsidRPr="001278B6">
        <w:rPr>
          <w:snapToGrid w:val="0"/>
          <w:lang w:val="da-DK"/>
        </w:rPr>
        <w:t xml:space="preserve">Hvis du oplever bivirkninger, bør du tale med din læge, apotekespersonalet eller sygeplejersken. Dette gælder også mulige bivirkninger, som ikke er medtaget i denne indlægsseddel. Du eller dine pårørende kan også indberette bivirkninger direkte til Lægemiddelstyrelsen via </w:t>
      </w:r>
      <w:r w:rsidRPr="001278B6">
        <w:rPr>
          <w:snapToGrid w:val="0"/>
          <w:color w:val="000000"/>
          <w:shd w:val="clear" w:color="auto" w:fill="D4D4D4"/>
          <w:lang w:val="da-DK"/>
        </w:rPr>
        <w:t>det nationale rapporteringssystem</w:t>
      </w:r>
      <w:r w:rsidRPr="001278B6">
        <w:rPr>
          <w:snapToGrid w:val="0"/>
          <w:color w:val="000000"/>
          <w:lang w:val="da-DK"/>
        </w:rPr>
        <w:t xml:space="preserve"> </w:t>
      </w:r>
      <w:r w:rsidRPr="001278B6">
        <w:rPr>
          <w:snapToGrid w:val="0"/>
          <w:color w:val="000000"/>
          <w:shd w:val="clear" w:color="auto" w:fill="D4D4D4"/>
          <w:lang w:val="da-DK"/>
        </w:rPr>
        <w:t xml:space="preserve">anført i </w:t>
      </w:r>
      <w:r>
        <w:fldChar w:fldCharType="begin"/>
      </w:r>
      <w:r w:rsidRPr="00747393">
        <w:rPr>
          <w:lang w:val="da-DK"/>
        </w:rPr>
        <w:instrText>HYPERLINK "https://www.ema.europa.eu/documents/template-form/appendix-v-adverse-drug-reaction-reporting-details_en.doc" \h</w:instrText>
      </w:r>
      <w:r>
        <w:fldChar w:fldCharType="separate"/>
      </w:r>
      <w:r w:rsidRPr="001278B6">
        <w:rPr>
          <w:snapToGrid w:val="0"/>
          <w:color w:val="0000FF"/>
          <w:u w:val="single" w:color="0000FF"/>
          <w:shd w:val="clear" w:color="auto" w:fill="D4D4D4"/>
          <w:lang w:val="da-DK"/>
        </w:rPr>
        <w:t>Appendiks V</w:t>
      </w:r>
      <w:r w:rsidRPr="001278B6">
        <w:rPr>
          <w:snapToGrid w:val="0"/>
          <w:color w:val="000000"/>
          <w:lang w:val="da-DK"/>
        </w:rPr>
        <w:t xml:space="preserve">. </w:t>
      </w:r>
      <w:r>
        <w:fldChar w:fldCharType="end"/>
      </w:r>
      <w:r w:rsidRPr="001278B6">
        <w:rPr>
          <w:snapToGrid w:val="0"/>
          <w:color w:val="000000"/>
          <w:lang w:val="da-DK"/>
        </w:rPr>
        <w:t>Ved at indrapportere bivirkninger kan du hjælpe med at fremskaffe mere information om sikkerheden af dette lægemiddel</w:t>
      </w:r>
    </w:p>
    <w:p w14:paraId="4C47CA67" w14:textId="77777777" w:rsidR="003563EF" w:rsidRPr="001278B6" w:rsidRDefault="003563EF" w:rsidP="001278B6">
      <w:pPr>
        <w:pStyle w:val="a3"/>
        <w:widowControl/>
        <w:adjustRightInd w:val="0"/>
        <w:snapToGrid w:val="0"/>
        <w:rPr>
          <w:snapToGrid w:val="0"/>
          <w:lang w:val="da-DK"/>
        </w:rPr>
      </w:pPr>
    </w:p>
    <w:p w14:paraId="792CABB4" w14:textId="77777777" w:rsidR="003563EF" w:rsidRPr="001278B6" w:rsidRDefault="003563EF" w:rsidP="001278B6">
      <w:pPr>
        <w:pStyle w:val="a3"/>
        <w:widowControl/>
        <w:adjustRightInd w:val="0"/>
        <w:snapToGrid w:val="0"/>
        <w:rPr>
          <w:snapToGrid w:val="0"/>
          <w:lang w:val="da-DK"/>
        </w:rPr>
      </w:pPr>
    </w:p>
    <w:p w14:paraId="41C413DF" w14:textId="77777777" w:rsidR="003563EF" w:rsidRPr="001278B6" w:rsidRDefault="00473235" w:rsidP="001278B6">
      <w:pPr>
        <w:pStyle w:val="2"/>
        <w:keepNext/>
        <w:keepLines/>
        <w:widowControl/>
        <w:numPr>
          <w:ilvl w:val="0"/>
          <w:numId w:val="2"/>
        </w:numPr>
        <w:adjustRightInd w:val="0"/>
        <w:snapToGrid w:val="0"/>
        <w:ind w:left="0" w:firstLine="0"/>
        <w:rPr>
          <w:snapToGrid w:val="0"/>
          <w:lang w:val="da-DK"/>
        </w:rPr>
      </w:pPr>
      <w:r w:rsidRPr="001278B6">
        <w:rPr>
          <w:snapToGrid w:val="0"/>
          <w:lang w:val="da-DK"/>
        </w:rPr>
        <w:t>Opbevaring</w:t>
      </w:r>
    </w:p>
    <w:p w14:paraId="1A3B390A" w14:textId="77777777" w:rsidR="003563EF" w:rsidRPr="001278B6" w:rsidRDefault="003563EF" w:rsidP="001278B6">
      <w:pPr>
        <w:pStyle w:val="a3"/>
        <w:keepNext/>
        <w:keepLines/>
        <w:widowControl/>
        <w:adjustRightInd w:val="0"/>
        <w:snapToGrid w:val="0"/>
        <w:rPr>
          <w:bCs/>
          <w:snapToGrid w:val="0"/>
          <w:lang w:val="da-DK"/>
        </w:rPr>
      </w:pPr>
    </w:p>
    <w:p w14:paraId="6D08051A" w14:textId="77777777" w:rsidR="003563EF" w:rsidRPr="001278B6" w:rsidRDefault="00473235" w:rsidP="001278B6">
      <w:pPr>
        <w:pStyle w:val="a3"/>
        <w:widowControl/>
        <w:adjustRightInd w:val="0"/>
        <w:snapToGrid w:val="0"/>
        <w:rPr>
          <w:snapToGrid w:val="0"/>
          <w:lang w:val="da-DK"/>
        </w:rPr>
      </w:pPr>
      <w:r w:rsidRPr="001278B6">
        <w:rPr>
          <w:snapToGrid w:val="0"/>
          <w:lang w:val="da-DK"/>
        </w:rPr>
        <w:t>Opbevar lægemidlet utilgængeligt for børn.</w:t>
      </w:r>
    </w:p>
    <w:p w14:paraId="67B8B9CB" w14:textId="77777777" w:rsidR="003563EF" w:rsidRPr="001278B6" w:rsidRDefault="003563EF" w:rsidP="001278B6">
      <w:pPr>
        <w:pStyle w:val="a3"/>
        <w:widowControl/>
        <w:adjustRightInd w:val="0"/>
        <w:snapToGrid w:val="0"/>
        <w:rPr>
          <w:snapToGrid w:val="0"/>
          <w:lang w:val="da-DK"/>
        </w:rPr>
      </w:pPr>
    </w:p>
    <w:p w14:paraId="34BC8A9F" w14:textId="77777777" w:rsidR="003563EF" w:rsidRPr="001278B6" w:rsidRDefault="00473235" w:rsidP="001278B6">
      <w:pPr>
        <w:pStyle w:val="a3"/>
        <w:widowControl/>
        <w:adjustRightInd w:val="0"/>
        <w:snapToGrid w:val="0"/>
        <w:rPr>
          <w:snapToGrid w:val="0"/>
          <w:lang w:val="da-DK"/>
        </w:rPr>
      </w:pPr>
      <w:r w:rsidRPr="001278B6">
        <w:rPr>
          <w:snapToGrid w:val="0"/>
          <w:lang w:val="da-DK"/>
        </w:rPr>
        <w:t>Brug ikke lægemidlet efter den udløbsdato, der står på den ydre karton og på hætteglasset efter forkortelsen ”EXP”. Udløbsdatoen er den sidste dag i den nævnte måned.</w:t>
      </w:r>
    </w:p>
    <w:p w14:paraId="401EC27D" w14:textId="77777777" w:rsidR="003563EF" w:rsidRPr="001278B6" w:rsidRDefault="003563EF" w:rsidP="001278B6">
      <w:pPr>
        <w:pStyle w:val="a3"/>
        <w:widowControl/>
        <w:adjustRightInd w:val="0"/>
        <w:snapToGrid w:val="0"/>
        <w:rPr>
          <w:snapToGrid w:val="0"/>
          <w:lang w:val="da-DK"/>
        </w:rPr>
      </w:pPr>
    </w:p>
    <w:p w14:paraId="77180F3F" w14:textId="77777777" w:rsidR="00260733" w:rsidRDefault="00473235">
      <w:pPr>
        <w:pStyle w:val="a3"/>
        <w:widowControl/>
        <w:adjustRightInd w:val="0"/>
        <w:snapToGrid w:val="0"/>
        <w:rPr>
          <w:snapToGrid w:val="0"/>
          <w:lang w:val="da-DK"/>
        </w:rPr>
      </w:pPr>
      <w:r w:rsidRPr="001278B6">
        <w:rPr>
          <w:snapToGrid w:val="0"/>
          <w:lang w:val="da-DK"/>
        </w:rPr>
        <w:t xml:space="preserve">Opbevares i køleskab (2 ºC – 8 </w:t>
      </w:r>
      <w:r w:rsidR="0085726A" w:rsidRPr="00244D63">
        <w:rPr>
          <w:snapToGrid w:val="0"/>
          <w:lang w:val="da-DK"/>
        </w:rPr>
        <w:t>º</w:t>
      </w:r>
      <w:r w:rsidRPr="001278B6">
        <w:rPr>
          <w:snapToGrid w:val="0"/>
          <w:lang w:val="da-DK"/>
        </w:rPr>
        <w:t>C).</w:t>
      </w:r>
    </w:p>
    <w:p w14:paraId="710DDBEB" w14:textId="77777777" w:rsidR="003563EF" w:rsidRPr="001278B6" w:rsidRDefault="00473235" w:rsidP="001278B6">
      <w:pPr>
        <w:pStyle w:val="a3"/>
        <w:widowControl/>
        <w:adjustRightInd w:val="0"/>
        <w:snapToGrid w:val="0"/>
        <w:rPr>
          <w:snapToGrid w:val="0"/>
          <w:lang w:val="da-DK"/>
        </w:rPr>
      </w:pPr>
      <w:r w:rsidRPr="001278B6">
        <w:rPr>
          <w:snapToGrid w:val="0"/>
          <w:lang w:val="da-DK"/>
        </w:rPr>
        <w:t>Må ikke fryses.</w:t>
      </w:r>
    </w:p>
    <w:p w14:paraId="3BBAC646" w14:textId="77777777" w:rsidR="003563EF" w:rsidRPr="001278B6" w:rsidRDefault="00473235" w:rsidP="001278B6">
      <w:pPr>
        <w:pStyle w:val="a3"/>
        <w:widowControl/>
        <w:adjustRightInd w:val="0"/>
        <w:snapToGrid w:val="0"/>
        <w:rPr>
          <w:snapToGrid w:val="0"/>
          <w:lang w:val="da-DK"/>
        </w:rPr>
      </w:pPr>
      <w:r w:rsidRPr="001278B6">
        <w:rPr>
          <w:snapToGrid w:val="0"/>
          <w:lang w:val="da-DK"/>
        </w:rPr>
        <w:t>Hætteglassene skal altid opbevares i den originale yderpakning for at beskytte mod lys.</w:t>
      </w:r>
    </w:p>
    <w:p w14:paraId="075547AC" w14:textId="77777777" w:rsidR="003563EF" w:rsidRPr="001278B6" w:rsidRDefault="003563EF" w:rsidP="001278B6">
      <w:pPr>
        <w:pStyle w:val="a3"/>
        <w:widowControl/>
        <w:adjustRightInd w:val="0"/>
        <w:snapToGrid w:val="0"/>
        <w:rPr>
          <w:snapToGrid w:val="0"/>
          <w:lang w:val="da-DK"/>
        </w:rPr>
      </w:pPr>
    </w:p>
    <w:p w14:paraId="6DAB3599" w14:textId="6AA530F5" w:rsidR="003563EF" w:rsidRPr="001278B6" w:rsidRDefault="00473235" w:rsidP="001278B6">
      <w:pPr>
        <w:pStyle w:val="a3"/>
        <w:widowControl/>
        <w:adjustRightInd w:val="0"/>
        <w:snapToGrid w:val="0"/>
        <w:rPr>
          <w:snapToGrid w:val="0"/>
          <w:lang w:val="da-DK"/>
        </w:rPr>
      </w:pPr>
      <w:r w:rsidRPr="001278B6">
        <w:rPr>
          <w:snapToGrid w:val="0"/>
          <w:lang w:val="da-DK"/>
        </w:rPr>
        <w:t xml:space="preserve">Infusionsopløsningen skal anvendes umiddelbart efter fortyndingen. Hvis den ikke anvendes straks, er opbevaringstider og </w:t>
      </w:r>
      <w:r w:rsidR="004B3750">
        <w:rPr>
          <w:snapToGrid w:val="0"/>
          <w:lang w:val="da-DK"/>
        </w:rPr>
        <w:noBreakHyphen/>
      </w:r>
      <w:r w:rsidRPr="001278B6">
        <w:rPr>
          <w:snapToGrid w:val="0"/>
          <w:lang w:val="da-DK"/>
        </w:rPr>
        <w:t>betingelser efter fortynding brugerens ansvar og bør normalt ikke overstige 24</w:t>
      </w:r>
      <w:r w:rsidR="0085726A">
        <w:rPr>
          <w:snapToGrid w:val="0"/>
          <w:lang w:val="da-DK"/>
        </w:rPr>
        <w:t> </w:t>
      </w:r>
      <w:r w:rsidRPr="001278B6">
        <w:rPr>
          <w:snapToGrid w:val="0"/>
          <w:lang w:val="da-DK"/>
        </w:rPr>
        <w:t xml:space="preserve">timer ved 2 ºC </w:t>
      </w:r>
      <w:r w:rsidR="004B3750">
        <w:rPr>
          <w:snapToGrid w:val="0"/>
          <w:lang w:val="da-DK"/>
        </w:rPr>
        <w:noBreakHyphen/>
      </w:r>
      <w:r w:rsidRPr="001278B6">
        <w:rPr>
          <w:snapToGrid w:val="0"/>
          <w:lang w:val="da-DK"/>
        </w:rPr>
        <w:t xml:space="preserve"> 8 ºC, medmindre infusionsopløsningen er fremstillet under sterile forhold. Når fortyndingen har fundet sted under sterile forhold, er </w:t>
      </w:r>
      <w:r w:rsidR="00295FBB">
        <w:rPr>
          <w:noProof/>
          <w:color w:val="000000"/>
          <w:lang w:val="da-DK" w:eastAsia="ko-KR"/>
        </w:rPr>
        <w:t>Vegzelma</w:t>
      </w:r>
      <w:r w:rsidRPr="001278B6">
        <w:rPr>
          <w:snapToGrid w:val="0"/>
          <w:lang w:val="da-DK"/>
        </w:rPr>
        <w:t xml:space="preserve"> stabil i </w:t>
      </w:r>
      <w:r w:rsidR="006E07EC">
        <w:rPr>
          <w:snapToGrid w:val="0"/>
          <w:lang w:val="da-DK"/>
        </w:rPr>
        <w:t>6</w:t>
      </w:r>
      <w:r w:rsidRPr="001278B6">
        <w:rPr>
          <w:snapToGrid w:val="0"/>
          <w:lang w:val="da-DK"/>
        </w:rPr>
        <w:t xml:space="preserve">0 dage ved 2 ºC </w:t>
      </w:r>
      <w:r w:rsidR="004B3750">
        <w:rPr>
          <w:snapToGrid w:val="0"/>
          <w:lang w:val="da-DK"/>
        </w:rPr>
        <w:noBreakHyphen/>
      </w:r>
      <w:r w:rsidRPr="001278B6">
        <w:rPr>
          <w:snapToGrid w:val="0"/>
          <w:lang w:val="da-DK"/>
        </w:rPr>
        <w:t xml:space="preserve"> 8 ºC og yderligere i </w:t>
      </w:r>
      <w:r w:rsidR="000D78B7">
        <w:rPr>
          <w:snapToGrid w:val="0"/>
          <w:lang w:val="da-DK"/>
        </w:rPr>
        <w:t>7 dage</w:t>
      </w:r>
      <w:r w:rsidRPr="001278B6">
        <w:rPr>
          <w:snapToGrid w:val="0"/>
          <w:lang w:val="da-DK"/>
        </w:rPr>
        <w:t xml:space="preserve"> ved 2 ºC </w:t>
      </w:r>
      <w:r w:rsidR="004B3750">
        <w:rPr>
          <w:snapToGrid w:val="0"/>
          <w:lang w:val="da-DK"/>
        </w:rPr>
        <w:noBreakHyphen/>
      </w:r>
      <w:r w:rsidRPr="001278B6">
        <w:rPr>
          <w:snapToGrid w:val="0"/>
          <w:lang w:val="da-DK"/>
        </w:rPr>
        <w:t xml:space="preserve"> 30 ºC.</w:t>
      </w:r>
    </w:p>
    <w:p w14:paraId="5C341D8D" w14:textId="77777777" w:rsidR="003563EF" w:rsidRPr="001278B6" w:rsidRDefault="003563EF" w:rsidP="001278B6">
      <w:pPr>
        <w:pStyle w:val="a3"/>
        <w:widowControl/>
        <w:adjustRightInd w:val="0"/>
        <w:snapToGrid w:val="0"/>
        <w:rPr>
          <w:snapToGrid w:val="0"/>
          <w:lang w:val="da-DK"/>
        </w:rPr>
      </w:pPr>
    </w:p>
    <w:p w14:paraId="565E8483" w14:textId="5E54112D" w:rsidR="003563EF" w:rsidRPr="001278B6" w:rsidRDefault="00473235" w:rsidP="001278B6">
      <w:pPr>
        <w:pStyle w:val="a3"/>
        <w:widowControl/>
        <w:adjustRightInd w:val="0"/>
        <w:snapToGrid w:val="0"/>
        <w:rPr>
          <w:snapToGrid w:val="0"/>
          <w:lang w:val="da-DK"/>
        </w:rPr>
      </w:pPr>
      <w:r w:rsidRPr="001278B6">
        <w:rPr>
          <w:snapToGrid w:val="0"/>
          <w:lang w:val="da-DK"/>
        </w:rPr>
        <w:t xml:space="preserve">Brug ikke </w:t>
      </w:r>
      <w:r w:rsidR="00295FBB">
        <w:rPr>
          <w:noProof/>
          <w:color w:val="000000"/>
          <w:lang w:val="da-DK" w:eastAsia="ko-KR"/>
        </w:rPr>
        <w:t>Vegzelma</w:t>
      </w:r>
      <w:r w:rsidRPr="001278B6">
        <w:rPr>
          <w:snapToGrid w:val="0"/>
          <w:lang w:val="da-DK"/>
        </w:rPr>
        <w:t>, hvis du opdager partikler eller misfarvning før indgift.</w:t>
      </w:r>
    </w:p>
    <w:p w14:paraId="030E6AB6" w14:textId="77777777" w:rsidR="003563EF" w:rsidRPr="001278B6" w:rsidRDefault="003563EF" w:rsidP="001278B6">
      <w:pPr>
        <w:pStyle w:val="a3"/>
        <w:widowControl/>
        <w:adjustRightInd w:val="0"/>
        <w:snapToGrid w:val="0"/>
        <w:rPr>
          <w:snapToGrid w:val="0"/>
          <w:lang w:val="da-DK"/>
        </w:rPr>
      </w:pPr>
    </w:p>
    <w:p w14:paraId="5B2088C7" w14:textId="77777777" w:rsidR="003563EF" w:rsidRPr="001278B6" w:rsidRDefault="00473235" w:rsidP="001278B6">
      <w:pPr>
        <w:pStyle w:val="a3"/>
        <w:widowControl/>
        <w:adjustRightInd w:val="0"/>
        <w:snapToGrid w:val="0"/>
        <w:rPr>
          <w:snapToGrid w:val="0"/>
          <w:lang w:val="da-DK"/>
        </w:rPr>
      </w:pPr>
      <w:r w:rsidRPr="001278B6">
        <w:rPr>
          <w:snapToGrid w:val="0"/>
          <w:lang w:val="da-DK"/>
        </w:rPr>
        <w:t>Spørg apoteketspersonalet, hvordan du skal bortskaffe medicinrester. Af hensyn til miljøet må du ikke smide medicinrester i afløbet, toilettet eller skraldespanden.</w:t>
      </w:r>
    </w:p>
    <w:p w14:paraId="0A2C3123" w14:textId="77777777" w:rsidR="003563EF" w:rsidRDefault="003563EF">
      <w:pPr>
        <w:pStyle w:val="a3"/>
        <w:widowControl/>
        <w:adjustRightInd w:val="0"/>
        <w:snapToGrid w:val="0"/>
        <w:rPr>
          <w:snapToGrid w:val="0"/>
          <w:lang w:val="da-DK"/>
        </w:rPr>
      </w:pPr>
    </w:p>
    <w:p w14:paraId="5C65B2FA" w14:textId="77777777" w:rsidR="00260733" w:rsidRPr="001278B6" w:rsidRDefault="00260733" w:rsidP="001278B6">
      <w:pPr>
        <w:pStyle w:val="a3"/>
        <w:widowControl/>
        <w:adjustRightInd w:val="0"/>
        <w:snapToGrid w:val="0"/>
        <w:rPr>
          <w:snapToGrid w:val="0"/>
          <w:lang w:val="da-DK"/>
        </w:rPr>
      </w:pPr>
    </w:p>
    <w:p w14:paraId="4490018E" w14:textId="77777777" w:rsidR="00260733" w:rsidRDefault="00473235" w:rsidP="001278B6">
      <w:pPr>
        <w:pStyle w:val="2"/>
        <w:keepNext/>
        <w:keepLines/>
        <w:widowControl/>
        <w:numPr>
          <w:ilvl w:val="0"/>
          <w:numId w:val="2"/>
        </w:numPr>
        <w:adjustRightInd w:val="0"/>
        <w:snapToGrid w:val="0"/>
        <w:ind w:left="0" w:firstLine="0"/>
        <w:rPr>
          <w:snapToGrid w:val="0"/>
          <w:lang w:val="da-DK"/>
        </w:rPr>
      </w:pPr>
      <w:r w:rsidRPr="001278B6">
        <w:rPr>
          <w:snapToGrid w:val="0"/>
          <w:lang w:val="da-DK"/>
        </w:rPr>
        <w:t>Pakningsstørrelse og yderligere oplysninger</w:t>
      </w:r>
    </w:p>
    <w:p w14:paraId="63986B2B" w14:textId="77777777" w:rsidR="00260733" w:rsidRDefault="00260733" w:rsidP="00747393">
      <w:pPr>
        <w:rPr>
          <w:snapToGrid w:val="0"/>
          <w:lang w:val="da-DK"/>
        </w:rPr>
      </w:pPr>
    </w:p>
    <w:p w14:paraId="69542E81" w14:textId="5A23D3F2" w:rsidR="003563EF" w:rsidRPr="00747393" w:rsidRDefault="00295FBB" w:rsidP="00747393">
      <w:pPr>
        <w:rPr>
          <w:b/>
          <w:bCs/>
          <w:snapToGrid w:val="0"/>
          <w:lang w:val="da-DK"/>
        </w:rPr>
      </w:pPr>
      <w:r w:rsidRPr="00747393">
        <w:rPr>
          <w:b/>
          <w:bCs/>
          <w:noProof/>
          <w:color w:val="000000"/>
          <w:lang w:val="en-GB" w:eastAsia="ko-KR"/>
        </w:rPr>
        <w:t>Vegzelma</w:t>
      </w:r>
      <w:r w:rsidR="00473235" w:rsidRPr="00747393">
        <w:rPr>
          <w:b/>
          <w:bCs/>
          <w:snapToGrid w:val="0"/>
          <w:lang w:val="da-DK"/>
        </w:rPr>
        <w:t xml:space="preserve"> indeholder:</w:t>
      </w:r>
    </w:p>
    <w:p w14:paraId="5D88FB8E" w14:textId="77777777" w:rsidR="003563EF" w:rsidRPr="001278B6" w:rsidRDefault="00473235" w:rsidP="001278B6">
      <w:pPr>
        <w:pStyle w:val="Bullet1"/>
        <w:widowControl/>
        <w:rPr>
          <w:lang w:val="da-DK"/>
        </w:rPr>
      </w:pPr>
      <w:r w:rsidRPr="001278B6">
        <w:rPr>
          <w:lang w:val="da-DK"/>
        </w:rPr>
        <w:t>Aktivt stof; bevacizumab. Hver</w:t>
      </w:r>
      <w:r w:rsidR="00EC2040">
        <w:rPr>
          <w:lang w:val="da-DK"/>
        </w:rPr>
        <w:t> m</w:t>
      </w:r>
      <w:r w:rsidR="001C0A4C">
        <w:rPr>
          <w:lang w:val="da-DK"/>
        </w:rPr>
        <w:t>l</w:t>
      </w:r>
      <w:r w:rsidRPr="001278B6">
        <w:rPr>
          <w:lang w:val="da-DK"/>
        </w:rPr>
        <w:t xml:space="preserve"> koncentrat indeholder 25</w:t>
      </w:r>
      <w:r w:rsidR="00EC2040">
        <w:rPr>
          <w:lang w:val="da-DK"/>
        </w:rPr>
        <w:t> mg</w:t>
      </w:r>
      <w:r w:rsidRPr="001278B6">
        <w:rPr>
          <w:lang w:val="da-DK"/>
        </w:rPr>
        <w:t xml:space="preserve"> bevacizumab svarende til 1,4 til 16,5</w:t>
      </w:r>
      <w:r w:rsidR="00EC2040">
        <w:rPr>
          <w:lang w:val="da-DK"/>
        </w:rPr>
        <w:t> mg</w:t>
      </w:r>
      <w:r w:rsidRPr="001278B6">
        <w:rPr>
          <w:lang w:val="da-DK"/>
        </w:rPr>
        <w:t>/ml efter foreskreven fortynding.</w:t>
      </w:r>
    </w:p>
    <w:p w14:paraId="6B27579E" w14:textId="77777777" w:rsidR="003563EF" w:rsidRPr="001278B6" w:rsidRDefault="00473235" w:rsidP="001278B6">
      <w:pPr>
        <w:pStyle w:val="a3"/>
        <w:widowControl/>
        <w:tabs>
          <w:tab w:val="left" w:pos="567"/>
        </w:tabs>
        <w:adjustRightInd w:val="0"/>
        <w:snapToGrid w:val="0"/>
        <w:ind w:left="567"/>
        <w:rPr>
          <w:snapToGrid w:val="0"/>
          <w:lang w:val="da-DK"/>
        </w:rPr>
      </w:pPr>
      <w:r w:rsidRPr="001278B6">
        <w:rPr>
          <w:snapToGrid w:val="0"/>
          <w:lang w:val="da-DK"/>
        </w:rPr>
        <w:t>Hvert 4</w:t>
      </w:r>
      <w:r w:rsidR="00EC2040">
        <w:rPr>
          <w:snapToGrid w:val="0"/>
          <w:lang w:val="da-DK"/>
        </w:rPr>
        <w:t> m</w:t>
      </w:r>
      <w:r w:rsidR="001C0A4C">
        <w:rPr>
          <w:snapToGrid w:val="0"/>
          <w:lang w:val="da-DK"/>
        </w:rPr>
        <w:t>l</w:t>
      </w:r>
      <w:r w:rsidRPr="001278B6">
        <w:rPr>
          <w:snapToGrid w:val="0"/>
          <w:lang w:val="da-DK"/>
        </w:rPr>
        <w:t xml:space="preserve"> hætteglas indeholder 100</w:t>
      </w:r>
      <w:r w:rsidR="00EC2040">
        <w:rPr>
          <w:snapToGrid w:val="0"/>
          <w:lang w:val="da-DK"/>
        </w:rPr>
        <w:t> mg</w:t>
      </w:r>
      <w:r w:rsidRPr="001278B6">
        <w:rPr>
          <w:snapToGrid w:val="0"/>
          <w:lang w:val="da-DK"/>
        </w:rPr>
        <w:t xml:space="preserve"> bevacizumab svarende til 1,4</w:t>
      </w:r>
      <w:r w:rsidR="00EC2040">
        <w:rPr>
          <w:snapToGrid w:val="0"/>
          <w:lang w:val="da-DK"/>
        </w:rPr>
        <w:t> mg</w:t>
      </w:r>
      <w:r w:rsidRPr="001278B6">
        <w:rPr>
          <w:snapToGrid w:val="0"/>
          <w:lang w:val="da-DK"/>
        </w:rPr>
        <w:t>/ml efter foreskreven fortynding.</w:t>
      </w:r>
    </w:p>
    <w:p w14:paraId="5F592ADA" w14:textId="77777777" w:rsidR="003563EF" w:rsidRPr="001278B6" w:rsidRDefault="00473235" w:rsidP="001278B6">
      <w:pPr>
        <w:pStyle w:val="a3"/>
        <w:widowControl/>
        <w:tabs>
          <w:tab w:val="left" w:pos="567"/>
        </w:tabs>
        <w:adjustRightInd w:val="0"/>
        <w:snapToGrid w:val="0"/>
        <w:ind w:left="567"/>
        <w:rPr>
          <w:snapToGrid w:val="0"/>
          <w:lang w:val="da-DK"/>
        </w:rPr>
      </w:pPr>
      <w:r w:rsidRPr="001278B6">
        <w:rPr>
          <w:snapToGrid w:val="0"/>
          <w:lang w:val="da-DK"/>
        </w:rPr>
        <w:t>Hvert 16</w:t>
      </w:r>
      <w:r w:rsidR="00EC2040">
        <w:rPr>
          <w:snapToGrid w:val="0"/>
          <w:lang w:val="da-DK"/>
        </w:rPr>
        <w:t> m</w:t>
      </w:r>
      <w:r w:rsidR="001C0A4C">
        <w:rPr>
          <w:snapToGrid w:val="0"/>
          <w:lang w:val="da-DK"/>
        </w:rPr>
        <w:t>l</w:t>
      </w:r>
      <w:r w:rsidRPr="001278B6">
        <w:rPr>
          <w:snapToGrid w:val="0"/>
          <w:lang w:val="da-DK"/>
        </w:rPr>
        <w:t xml:space="preserve"> hætteglas indeholder 400</w:t>
      </w:r>
      <w:r w:rsidR="00EC2040">
        <w:rPr>
          <w:snapToGrid w:val="0"/>
          <w:lang w:val="da-DK"/>
        </w:rPr>
        <w:t> </w:t>
      </w:r>
      <w:r w:rsidR="001C0A4C">
        <w:rPr>
          <w:snapToGrid w:val="0"/>
          <w:lang w:val="da-DK"/>
        </w:rPr>
        <w:t>m</w:t>
      </w:r>
      <w:r w:rsidR="00EC2040">
        <w:rPr>
          <w:snapToGrid w:val="0"/>
          <w:lang w:val="da-DK"/>
        </w:rPr>
        <w:t>g</w:t>
      </w:r>
      <w:r w:rsidRPr="001278B6">
        <w:rPr>
          <w:snapToGrid w:val="0"/>
          <w:lang w:val="da-DK"/>
        </w:rPr>
        <w:t xml:space="preserve"> bevacizumab svarende til 16,5</w:t>
      </w:r>
      <w:r w:rsidR="00EC2040">
        <w:rPr>
          <w:snapToGrid w:val="0"/>
          <w:lang w:val="da-DK"/>
        </w:rPr>
        <w:t> mg</w:t>
      </w:r>
      <w:r w:rsidRPr="001278B6">
        <w:rPr>
          <w:snapToGrid w:val="0"/>
          <w:lang w:val="da-DK"/>
        </w:rPr>
        <w:t>/ml efter foreskreven fortynding.</w:t>
      </w:r>
    </w:p>
    <w:p w14:paraId="7ACDE11B" w14:textId="77777777" w:rsidR="003563EF" w:rsidRPr="001278B6" w:rsidRDefault="00473235" w:rsidP="001278B6">
      <w:pPr>
        <w:pStyle w:val="Bullet1"/>
        <w:widowControl/>
        <w:rPr>
          <w:lang w:val="da-DK"/>
        </w:rPr>
      </w:pPr>
      <w:r w:rsidRPr="001278B6">
        <w:rPr>
          <w:lang w:val="da-DK"/>
        </w:rPr>
        <w:lastRenderedPageBreak/>
        <w:t>Øvrige indholdsstoffer: Trehalosedihydrat, natriumphosphat, polysorbat 20 og vand til injektionsvæsker.</w:t>
      </w:r>
    </w:p>
    <w:p w14:paraId="4741C8F0" w14:textId="77777777" w:rsidR="003563EF" w:rsidRPr="001278B6" w:rsidRDefault="003563EF" w:rsidP="001278B6">
      <w:pPr>
        <w:pStyle w:val="a3"/>
        <w:widowControl/>
        <w:adjustRightInd w:val="0"/>
        <w:snapToGrid w:val="0"/>
        <w:rPr>
          <w:snapToGrid w:val="0"/>
          <w:lang w:val="da-DK"/>
        </w:rPr>
      </w:pPr>
    </w:p>
    <w:p w14:paraId="41C66A0B" w14:textId="77777777" w:rsidR="003563EF" w:rsidRPr="00747393" w:rsidRDefault="00473235" w:rsidP="00747393">
      <w:pPr>
        <w:rPr>
          <w:b/>
          <w:bCs/>
          <w:snapToGrid w:val="0"/>
          <w:lang w:val="da-DK"/>
        </w:rPr>
      </w:pPr>
      <w:r w:rsidRPr="00747393">
        <w:rPr>
          <w:b/>
          <w:bCs/>
          <w:snapToGrid w:val="0"/>
          <w:lang w:val="da-DK"/>
        </w:rPr>
        <w:t>Udseende og pakningsstørrelser</w:t>
      </w:r>
    </w:p>
    <w:p w14:paraId="73DEED14" w14:textId="6F7E4C05" w:rsidR="003563EF" w:rsidRDefault="00295FBB">
      <w:pPr>
        <w:pStyle w:val="a3"/>
        <w:widowControl/>
        <w:adjustRightInd w:val="0"/>
        <w:snapToGrid w:val="0"/>
        <w:rPr>
          <w:snapToGrid w:val="0"/>
          <w:lang w:val="da-DK"/>
        </w:rPr>
      </w:pPr>
      <w:r>
        <w:rPr>
          <w:noProof/>
          <w:color w:val="000000"/>
          <w:lang w:val="da-DK" w:eastAsia="ko-KR"/>
        </w:rPr>
        <w:t>Vegzelma</w:t>
      </w:r>
      <w:r w:rsidR="00473235" w:rsidRPr="001278B6">
        <w:rPr>
          <w:snapToGrid w:val="0"/>
          <w:lang w:val="da-DK"/>
        </w:rPr>
        <w:t xml:space="preserve"> er et koncentrat til infusionsvæske, opløsning. Koncentratet er en klar, farveløs til lysebrun væske i et hætteglas af glas med gummilukke. Hvert hætteglas indeholder 100</w:t>
      </w:r>
      <w:r w:rsidR="0040209A">
        <w:rPr>
          <w:snapToGrid w:val="0"/>
          <w:lang w:val="da-DK"/>
        </w:rPr>
        <w:t> mg</w:t>
      </w:r>
      <w:r w:rsidR="00473235" w:rsidRPr="001278B6">
        <w:rPr>
          <w:snapToGrid w:val="0"/>
          <w:lang w:val="da-DK"/>
        </w:rPr>
        <w:t xml:space="preserve"> bevacizumab i 4</w:t>
      </w:r>
      <w:r w:rsidR="0040209A">
        <w:rPr>
          <w:snapToGrid w:val="0"/>
          <w:lang w:val="da-DK"/>
        </w:rPr>
        <w:t> m</w:t>
      </w:r>
      <w:r w:rsidR="009452E0">
        <w:rPr>
          <w:snapToGrid w:val="0"/>
          <w:lang w:val="da-DK"/>
        </w:rPr>
        <w:t>l</w:t>
      </w:r>
      <w:r w:rsidR="00473235" w:rsidRPr="001278B6">
        <w:rPr>
          <w:snapToGrid w:val="0"/>
          <w:lang w:val="da-DK"/>
        </w:rPr>
        <w:t xml:space="preserve"> opløsning eller 400</w:t>
      </w:r>
      <w:r w:rsidR="0040209A">
        <w:rPr>
          <w:snapToGrid w:val="0"/>
          <w:lang w:val="da-DK"/>
        </w:rPr>
        <w:t> mg</w:t>
      </w:r>
      <w:r w:rsidR="00473235" w:rsidRPr="001278B6">
        <w:rPr>
          <w:snapToGrid w:val="0"/>
          <w:lang w:val="da-DK"/>
        </w:rPr>
        <w:t xml:space="preserve"> bevacizumab i 16 ml opløsning. Hver pakning med </w:t>
      </w:r>
      <w:r>
        <w:rPr>
          <w:noProof/>
          <w:color w:val="000000"/>
          <w:lang w:val="da-DK" w:eastAsia="ko-KR"/>
        </w:rPr>
        <w:t>Vegzelma</w:t>
      </w:r>
      <w:r w:rsidR="00473235" w:rsidRPr="001278B6">
        <w:rPr>
          <w:snapToGrid w:val="0"/>
          <w:lang w:val="da-DK"/>
        </w:rPr>
        <w:t xml:space="preserve"> indeholder </w:t>
      </w:r>
      <w:r w:rsidR="00EF4689">
        <w:rPr>
          <w:snapToGrid w:val="0"/>
          <w:lang w:val="da-DK"/>
        </w:rPr>
        <w:t>1</w:t>
      </w:r>
      <w:r w:rsidR="00B227EB">
        <w:rPr>
          <w:rFonts w:eastAsia="맑은 고딕" w:hint="eastAsia"/>
          <w:snapToGrid w:val="0"/>
          <w:lang w:val="da-DK" w:eastAsia="ko-KR"/>
        </w:rPr>
        <w:t>, 2</w:t>
      </w:r>
      <w:r w:rsidR="00473235" w:rsidRPr="001278B6">
        <w:rPr>
          <w:snapToGrid w:val="0"/>
          <w:lang w:val="da-DK"/>
        </w:rPr>
        <w:t xml:space="preserve"> </w:t>
      </w:r>
      <w:r w:rsidR="0040209A">
        <w:rPr>
          <w:snapToGrid w:val="0"/>
          <w:lang w:val="da-DK"/>
        </w:rPr>
        <w:t xml:space="preserve">eller 10 </w:t>
      </w:r>
      <w:r w:rsidR="00473235" w:rsidRPr="001278B6">
        <w:rPr>
          <w:snapToGrid w:val="0"/>
          <w:lang w:val="da-DK"/>
        </w:rPr>
        <w:t>hætteglas.</w:t>
      </w:r>
    </w:p>
    <w:p w14:paraId="4A3A043D" w14:textId="77777777" w:rsidR="00AE7E5A" w:rsidRPr="001278B6" w:rsidRDefault="00AE7E5A" w:rsidP="001278B6">
      <w:pPr>
        <w:pStyle w:val="a3"/>
        <w:widowControl/>
        <w:adjustRightInd w:val="0"/>
        <w:snapToGrid w:val="0"/>
        <w:rPr>
          <w:snapToGrid w:val="0"/>
          <w:lang w:val="da-DK"/>
        </w:rPr>
      </w:pPr>
    </w:p>
    <w:p w14:paraId="2EC16843" w14:textId="77777777" w:rsidR="00AE7E5A" w:rsidRPr="00747393" w:rsidRDefault="00473235" w:rsidP="00747393">
      <w:pPr>
        <w:rPr>
          <w:b/>
          <w:bCs/>
          <w:snapToGrid w:val="0"/>
          <w:lang w:val="da-DK"/>
        </w:rPr>
      </w:pPr>
      <w:r w:rsidRPr="00747393">
        <w:rPr>
          <w:b/>
          <w:bCs/>
          <w:snapToGrid w:val="0"/>
          <w:lang w:val="da-DK"/>
        </w:rPr>
        <w:t>Indehaver af markedsføringstilladelsen og fremstiller</w:t>
      </w:r>
    </w:p>
    <w:p w14:paraId="4CC98C7C" w14:textId="77777777" w:rsidR="00AE7E5A" w:rsidRPr="001278B6" w:rsidRDefault="00AE7E5A" w:rsidP="00747393">
      <w:pPr>
        <w:rPr>
          <w:b/>
          <w:bCs/>
          <w:snapToGrid w:val="0"/>
          <w:lang w:val="da-DK"/>
        </w:rPr>
      </w:pPr>
    </w:p>
    <w:p w14:paraId="6B1F4916" w14:textId="77777777" w:rsidR="003563EF" w:rsidRPr="00747393" w:rsidRDefault="00473235" w:rsidP="00747393">
      <w:pPr>
        <w:rPr>
          <w:b/>
          <w:bCs/>
          <w:snapToGrid w:val="0"/>
          <w:lang w:val="da-DK"/>
        </w:rPr>
      </w:pPr>
      <w:r w:rsidRPr="00747393">
        <w:rPr>
          <w:b/>
          <w:bCs/>
          <w:snapToGrid w:val="0"/>
          <w:lang w:val="da-DK"/>
        </w:rPr>
        <w:t>Indehaver af markedsføringstilladelsen</w:t>
      </w:r>
    </w:p>
    <w:p w14:paraId="5198B1CB" w14:textId="77777777" w:rsidR="00455604" w:rsidRDefault="00455604" w:rsidP="000D78B7">
      <w:pPr>
        <w:widowControl/>
        <w:adjustRightInd w:val="0"/>
        <w:snapToGrid w:val="0"/>
        <w:rPr>
          <w:rFonts w:eastAsia="맑은 고딕"/>
          <w:color w:val="000000"/>
          <w:lang w:val="da-DK" w:eastAsia="ko-KR"/>
        </w:rPr>
      </w:pPr>
    </w:p>
    <w:p w14:paraId="2A43BB3E" w14:textId="5D4F9875" w:rsidR="000D78B7" w:rsidRPr="00515644" w:rsidRDefault="000D78B7" w:rsidP="000D78B7">
      <w:pPr>
        <w:widowControl/>
        <w:adjustRightInd w:val="0"/>
        <w:snapToGrid w:val="0"/>
        <w:rPr>
          <w:color w:val="000000"/>
          <w:lang w:val="da-DK" w:eastAsia="ko-KR"/>
        </w:rPr>
      </w:pPr>
      <w:r w:rsidRPr="00515644">
        <w:rPr>
          <w:color w:val="000000"/>
          <w:lang w:val="da-DK" w:eastAsia="ko-KR"/>
        </w:rPr>
        <w:t xml:space="preserve">Celltrion Healthcare Hungary Kft. </w:t>
      </w:r>
    </w:p>
    <w:p w14:paraId="037302E2" w14:textId="77777777" w:rsidR="000D78B7" w:rsidRPr="00C16207" w:rsidRDefault="000D78B7" w:rsidP="000D78B7">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6E4244E8" w14:textId="77777777" w:rsidR="000D78B7" w:rsidRPr="00C16207" w:rsidRDefault="000D78B7" w:rsidP="000D78B7">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4B3750">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F5A69F2" w14:textId="77777777" w:rsidR="000D78B7" w:rsidRPr="00C16207" w:rsidRDefault="000D78B7" w:rsidP="000D78B7">
      <w:pPr>
        <w:widowControl/>
        <w:adjustRightInd w:val="0"/>
        <w:snapToGrid w:val="0"/>
        <w:rPr>
          <w:color w:val="000000"/>
          <w:lang w:val="en-GB" w:eastAsia="ko-KR"/>
        </w:rPr>
      </w:pPr>
      <w:proofErr w:type="spellStart"/>
      <w:r>
        <w:rPr>
          <w:color w:val="000000"/>
          <w:lang w:val="en-GB" w:eastAsia="ko-KR"/>
        </w:rPr>
        <w:t>Ungarn</w:t>
      </w:r>
      <w:proofErr w:type="spellEnd"/>
    </w:p>
    <w:p w14:paraId="4A9F57E2" w14:textId="77777777" w:rsidR="0079124A" w:rsidRPr="00051658" w:rsidRDefault="0079124A" w:rsidP="001278B6">
      <w:pPr>
        <w:widowControl/>
        <w:adjustRightInd w:val="0"/>
        <w:snapToGrid w:val="0"/>
        <w:rPr>
          <w:snapToGrid w:val="0"/>
        </w:rPr>
      </w:pPr>
    </w:p>
    <w:p w14:paraId="5DFB5363" w14:textId="77777777" w:rsidR="003563EF" w:rsidRPr="00747393" w:rsidRDefault="00473235" w:rsidP="00747393">
      <w:pPr>
        <w:rPr>
          <w:b/>
          <w:bCs/>
          <w:snapToGrid w:val="0"/>
          <w:lang w:val="en-GB"/>
        </w:rPr>
      </w:pPr>
      <w:proofErr w:type="spellStart"/>
      <w:r w:rsidRPr="00747393">
        <w:rPr>
          <w:b/>
          <w:bCs/>
          <w:snapToGrid w:val="0"/>
          <w:lang w:val="en-GB"/>
        </w:rPr>
        <w:t>Fremstiller</w:t>
      </w:r>
      <w:proofErr w:type="spellEnd"/>
    </w:p>
    <w:p w14:paraId="44582BBF" w14:textId="77777777" w:rsidR="00455604" w:rsidRDefault="00455604" w:rsidP="00A3734B">
      <w:pPr>
        <w:widowControl/>
        <w:adjustRightInd w:val="0"/>
        <w:snapToGrid w:val="0"/>
        <w:rPr>
          <w:rFonts w:eastAsia="맑은 고딕"/>
          <w:snapToGrid w:val="0"/>
          <w:color w:val="000000"/>
          <w:shd w:val="clear" w:color="auto" w:fill="D4D4D4"/>
          <w:lang w:val="da-DK" w:eastAsia="ko-KR"/>
        </w:rPr>
      </w:pPr>
    </w:p>
    <w:p w14:paraId="3B885AEE" w14:textId="69E9AB29" w:rsidR="00A3734B" w:rsidRPr="00380D1B" w:rsidRDefault="00A3734B" w:rsidP="00A3734B">
      <w:pPr>
        <w:widowControl/>
        <w:adjustRightInd w:val="0"/>
        <w:snapToGrid w:val="0"/>
        <w:rPr>
          <w:snapToGrid w:val="0"/>
          <w:color w:val="000000"/>
          <w:shd w:val="clear" w:color="auto" w:fill="D4D4D4"/>
          <w:lang w:val="da-DK"/>
        </w:rPr>
      </w:pPr>
      <w:r w:rsidRPr="00380D1B">
        <w:rPr>
          <w:snapToGrid w:val="0"/>
          <w:color w:val="000000"/>
          <w:shd w:val="clear" w:color="auto" w:fill="D4D4D4"/>
          <w:lang w:val="da-DK"/>
        </w:rPr>
        <w:t>Nuvisan GmbH</w:t>
      </w:r>
    </w:p>
    <w:p w14:paraId="791531F3" w14:textId="77777777" w:rsidR="00A3734B" w:rsidRPr="00380D1B" w:rsidRDefault="00A3734B" w:rsidP="00A3734B">
      <w:pPr>
        <w:widowControl/>
        <w:adjustRightInd w:val="0"/>
        <w:snapToGrid w:val="0"/>
        <w:rPr>
          <w:snapToGrid w:val="0"/>
          <w:color w:val="000000"/>
          <w:shd w:val="clear" w:color="auto" w:fill="D4D4D4"/>
          <w:lang w:val="da-DK"/>
        </w:rPr>
      </w:pPr>
      <w:r w:rsidRPr="00380D1B">
        <w:rPr>
          <w:snapToGrid w:val="0"/>
          <w:color w:val="000000"/>
          <w:shd w:val="clear" w:color="auto" w:fill="D4D4D4"/>
          <w:lang w:val="da-DK"/>
        </w:rPr>
        <w:t>Wegenerstraße 13</w:t>
      </w:r>
    </w:p>
    <w:p w14:paraId="3D2A4125" w14:textId="5B374D7B" w:rsidR="00A3734B" w:rsidRPr="00380D1B" w:rsidRDefault="00A3734B" w:rsidP="00A3734B">
      <w:pPr>
        <w:widowControl/>
        <w:adjustRightInd w:val="0"/>
        <w:snapToGrid w:val="0"/>
        <w:rPr>
          <w:snapToGrid w:val="0"/>
          <w:color w:val="000000"/>
          <w:shd w:val="clear" w:color="auto" w:fill="D4D4D4"/>
          <w:lang w:val="da-DK"/>
        </w:rPr>
      </w:pPr>
      <w:r w:rsidRPr="00380D1B">
        <w:rPr>
          <w:snapToGrid w:val="0"/>
          <w:color w:val="000000"/>
          <w:shd w:val="clear" w:color="auto" w:fill="D4D4D4"/>
          <w:lang w:val="da-DK"/>
        </w:rPr>
        <w:t>89231 Neu</w:t>
      </w:r>
      <w:r w:rsidR="00123B74">
        <w:rPr>
          <w:rFonts w:eastAsia="맑은 고딕" w:hint="eastAsia"/>
          <w:snapToGrid w:val="0"/>
          <w:color w:val="000000"/>
          <w:shd w:val="clear" w:color="auto" w:fill="D4D4D4"/>
          <w:lang w:val="da-DK" w:eastAsia="ko-KR"/>
        </w:rPr>
        <w:t>-</w:t>
      </w:r>
      <w:r w:rsidRPr="00380D1B">
        <w:rPr>
          <w:snapToGrid w:val="0"/>
          <w:color w:val="000000"/>
          <w:shd w:val="clear" w:color="auto" w:fill="D4D4D4"/>
          <w:lang w:val="da-DK"/>
        </w:rPr>
        <w:t>Ulm</w:t>
      </w:r>
    </w:p>
    <w:p w14:paraId="19120AAD" w14:textId="77777777" w:rsidR="00A3734B" w:rsidRPr="00380D1B" w:rsidRDefault="00A3734B" w:rsidP="00A3734B">
      <w:pPr>
        <w:pStyle w:val="a3"/>
        <w:widowControl/>
        <w:adjustRightInd w:val="0"/>
        <w:snapToGrid w:val="0"/>
        <w:rPr>
          <w:snapToGrid w:val="0"/>
          <w:color w:val="000000"/>
          <w:shd w:val="clear" w:color="auto" w:fill="D4D4D4"/>
          <w:lang w:val="da-DK"/>
        </w:rPr>
      </w:pPr>
      <w:r w:rsidRPr="00380D1B">
        <w:rPr>
          <w:snapToGrid w:val="0"/>
          <w:color w:val="000000"/>
          <w:shd w:val="clear" w:color="auto" w:fill="D4D4D4"/>
          <w:lang w:val="da-DK"/>
        </w:rPr>
        <w:t>Tyskland</w:t>
      </w:r>
    </w:p>
    <w:p w14:paraId="64304757" w14:textId="77777777" w:rsidR="00A3734B" w:rsidRPr="003C63FB" w:rsidRDefault="00A3734B" w:rsidP="00A3734B">
      <w:pPr>
        <w:pStyle w:val="a3"/>
        <w:widowControl/>
        <w:adjustRightInd w:val="0"/>
        <w:snapToGrid w:val="0"/>
        <w:rPr>
          <w:snapToGrid w:val="0"/>
          <w:lang w:val="fr-FR"/>
        </w:rPr>
      </w:pPr>
    </w:p>
    <w:p w14:paraId="2B2DD329" w14:textId="77777777" w:rsidR="00A3734B" w:rsidRPr="003C63FB" w:rsidRDefault="00A3734B" w:rsidP="00A3734B">
      <w:pPr>
        <w:widowControl/>
        <w:adjustRightInd w:val="0"/>
        <w:snapToGrid w:val="0"/>
        <w:rPr>
          <w:color w:val="000000"/>
          <w:lang w:val="fr-FR"/>
        </w:rPr>
      </w:pPr>
      <w:r w:rsidRPr="003C63FB">
        <w:rPr>
          <w:color w:val="000000"/>
          <w:lang w:val="fr-FR"/>
        </w:rPr>
        <w:t>Nuvisan France SARL</w:t>
      </w:r>
    </w:p>
    <w:p w14:paraId="180A9DB8" w14:textId="77777777" w:rsidR="00A3734B" w:rsidRPr="003C63FB" w:rsidRDefault="00A3734B" w:rsidP="00A3734B">
      <w:pPr>
        <w:widowControl/>
        <w:adjustRightInd w:val="0"/>
        <w:snapToGrid w:val="0"/>
        <w:rPr>
          <w:color w:val="000000"/>
          <w:lang w:val="fr-FR"/>
        </w:rPr>
      </w:pPr>
      <w:r w:rsidRPr="003C63FB">
        <w:rPr>
          <w:color w:val="000000"/>
          <w:lang w:val="fr-FR"/>
        </w:rPr>
        <w:t>2400, Route des Colles</w:t>
      </w:r>
    </w:p>
    <w:p w14:paraId="6A515CCE" w14:textId="73A456A6" w:rsidR="00A3734B" w:rsidRPr="00123B74" w:rsidRDefault="00A3734B" w:rsidP="00A3734B">
      <w:pPr>
        <w:widowControl/>
        <w:adjustRightInd w:val="0"/>
        <w:snapToGrid w:val="0"/>
        <w:rPr>
          <w:color w:val="000000"/>
          <w:lang w:val="da-DK"/>
        </w:rPr>
      </w:pPr>
      <w:r w:rsidRPr="00051658">
        <w:rPr>
          <w:color w:val="000000"/>
          <w:lang w:val="da-DK"/>
        </w:rPr>
        <w:t xml:space="preserve">06410, </w:t>
      </w:r>
      <w:r w:rsidR="00123B74">
        <w:rPr>
          <w:rFonts w:eastAsia="맑은 고딕" w:hint="eastAsia"/>
          <w:color w:val="000000"/>
          <w:lang w:val="da-DK" w:eastAsia="ko-KR"/>
        </w:rPr>
        <w:t>Biot</w:t>
      </w:r>
    </w:p>
    <w:p w14:paraId="4E62372F" w14:textId="77777777" w:rsidR="00A3734B" w:rsidRPr="00515644" w:rsidRDefault="00A3734B" w:rsidP="00A3734B">
      <w:pPr>
        <w:widowControl/>
        <w:adjustRightInd w:val="0"/>
        <w:snapToGrid w:val="0"/>
        <w:rPr>
          <w:color w:val="000000"/>
          <w:lang w:val="da-DK"/>
        </w:rPr>
      </w:pPr>
      <w:r w:rsidRPr="00051658">
        <w:rPr>
          <w:color w:val="000000"/>
          <w:lang w:val="da-DK"/>
        </w:rPr>
        <w:t>Fran</w:t>
      </w:r>
      <w:r w:rsidRPr="00515644">
        <w:rPr>
          <w:color w:val="000000"/>
          <w:lang w:val="da-DK"/>
        </w:rPr>
        <w:t>krig</w:t>
      </w:r>
    </w:p>
    <w:p w14:paraId="0F4708AB" w14:textId="321E3E18" w:rsidR="000D78B7" w:rsidRDefault="000D78B7" w:rsidP="001F5933">
      <w:pPr>
        <w:widowControl/>
        <w:adjustRightInd w:val="0"/>
        <w:snapToGrid w:val="0"/>
        <w:rPr>
          <w:color w:val="000000"/>
          <w:lang w:val="da-DK"/>
        </w:rPr>
      </w:pPr>
    </w:p>
    <w:p w14:paraId="3AD8679B" w14:textId="2E099C97" w:rsidR="00254447" w:rsidRPr="00455604" w:rsidRDefault="00254447" w:rsidP="00254447">
      <w:pPr>
        <w:spacing w:before="10" w:line="240" w:lineRule="exact"/>
        <w:rPr>
          <w:rFonts w:eastAsiaTheme="minorEastAsia"/>
          <w:lang w:eastAsia="ko-KR"/>
        </w:rPr>
      </w:pPr>
      <w:proofErr w:type="spellStart"/>
      <w:r w:rsidRPr="00455604">
        <w:rPr>
          <w:rFonts w:eastAsiaTheme="minorEastAsia"/>
          <w:lang w:eastAsia="ko-KR"/>
        </w:rPr>
        <w:t>Kymos</w:t>
      </w:r>
      <w:proofErr w:type="spellEnd"/>
      <w:r w:rsidRPr="00455604">
        <w:rPr>
          <w:rFonts w:eastAsiaTheme="minorEastAsia"/>
          <w:lang w:eastAsia="ko-KR"/>
        </w:rPr>
        <w:t xml:space="preserve"> S</w:t>
      </w:r>
      <w:r w:rsidR="009845DE" w:rsidRPr="00455604">
        <w:rPr>
          <w:rFonts w:eastAsiaTheme="minorEastAsia"/>
          <w:lang w:eastAsia="ko-KR"/>
        </w:rPr>
        <w:t>.</w:t>
      </w:r>
      <w:r w:rsidRPr="00455604">
        <w:rPr>
          <w:rFonts w:eastAsiaTheme="minorEastAsia"/>
          <w:lang w:eastAsia="ko-KR"/>
        </w:rPr>
        <w:t>L</w:t>
      </w:r>
      <w:r w:rsidR="009845DE" w:rsidRPr="00455604">
        <w:rPr>
          <w:rFonts w:eastAsiaTheme="minorEastAsia"/>
          <w:lang w:eastAsia="ko-KR"/>
        </w:rPr>
        <w:t>.</w:t>
      </w:r>
    </w:p>
    <w:p w14:paraId="69BF9526" w14:textId="77777777" w:rsidR="003A3C4B" w:rsidRPr="00167801" w:rsidRDefault="003A3C4B" w:rsidP="003A3C4B">
      <w:pPr>
        <w:adjustRightInd w:val="0"/>
        <w:rPr>
          <w:color w:val="000000"/>
          <w:lang w:val="da-DK"/>
        </w:rPr>
      </w:pPr>
      <w:r w:rsidRPr="00167801">
        <w:rPr>
          <w:color w:val="000000"/>
          <w:lang w:val="da-DK"/>
        </w:rPr>
        <w:t>Ronda Can Fatjó 7B</w:t>
      </w:r>
    </w:p>
    <w:p w14:paraId="55E27CC0" w14:textId="1B1A5440" w:rsidR="003A3C4B" w:rsidRPr="00167801" w:rsidRDefault="003A3C4B" w:rsidP="003A3C4B">
      <w:pPr>
        <w:adjustRightInd w:val="0"/>
        <w:rPr>
          <w:color w:val="000000"/>
          <w:lang w:val="da-DK"/>
        </w:rPr>
      </w:pPr>
      <w:r w:rsidRPr="00167801">
        <w:rPr>
          <w:color w:val="000000"/>
          <w:lang w:val="da-DK"/>
        </w:rPr>
        <w:t>(Parque Tecnológico del Vallès)</w:t>
      </w:r>
      <w:r>
        <w:rPr>
          <w:color w:val="000000"/>
          <w:lang w:val="da-DK"/>
        </w:rPr>
        <w:t xml:space="preserve"> </w:t>
      </w:r>
      <w:r w:rsidRPr="00167801">
        <w:rPr>
          <w:color w:val="000000"/>
          <w:lang w:val="da-DK"/>
        </w:rPr>
        <w:t>Cerdanyola del Vallès</w:t>
      </w:r>
    </w:p>
    <w:p w14:paraId="6CD8AA63" w14:textId="5C1ED3AB" w:rsidR="003A3C4B" w:rsidRPr="00167801" w:rsidRDefault="003A3C4B" w:rsidP="003A3C4B">
      <w:pPr>
        <w:adjustRightInd w:val="0"/>
        <w:rPr>
          <w:color w:val="000000"/>
          <w:lang w:val="da-DK"/>
        </w:rPr>
      </w:pPr>
      <w:r w:rsidRPr="00167801">
        <w:rPr>
          <w:color w:val="000000"/>
          <w:lang w:val="da-DK"/>
        </w:rPr>
        <w:t>08290 Barcelona</w:t>
      </w:r>
    </w:p>
    <w:p w14:paraId="404DACFC" w14:textId="77777777" w:rsidR="00254447" w:rsidRDefault="00254447" w:rsidP="00254447">
      <w:pPr>
        <w:rPr>
          <w:lang w:val="da-DK"/>
        </w:rPr>
      </w:pPr>
      <w:r w:rsidRPr="00B14EF0">
        <w:rPr>
          <w:shd w:val="clear" w:color="auto" w:fill="FFFFFF"/>
          <w:lang w:val="da-DK"/>
        </w:rPr>
        <w:t>Spanien</w:t>
      </w:r>
    </w:p>
    <w:p w14:paraId="19B47F96" w14:textId="77777777" w:rsidR="00254447" w:rsidRPr="00515644" w:rsidRDefault="00254447" w:rsidP="001F5933">
      <w:pPr>
        <w:widowControl/>
        <w:adjustRightInd w:val="0"/>
        <w:snapToGrid w:val="0"/>
        <w:rPr>
          <w:color w:val="000000"/>
          <w:lang w:val="da-DK"/>
        </w:rPr>
      </w:pPr>
    </w:p>
    <w:p w14:paraId="7A15999E" w14:textId="77777777" w:rsidR="00246864" w:rsidRPr="00455604" w:rsidRDefault="00246864" w:rsidP="00246864">
      <w:r w:rsidRPr="00455604">
        <w:rPr>
          <w:spacing w:val="-5"/>
        </w:rPr>
        <w:t>Midas Pharma GmbH</w:t>
      </w:r>
    </w:p>
    <w:p w14:paraId="29B34BBE" w14:textId="77777777" w:rsidR="00246864" w:rsidRPr="00455604" w:rsidRDefault="00246864" w:rsidP="00246864">
      <w:proofErr w:type="spellStart"/>
      <w:r w:rsidRPr="00455604">
        <w:t>Rheinstraße</w:t>
      </w:r>
      <w:proofErr w:type="spellEnd"/>
      <w:r w:rsidRPr="00455604">
        <w:t xml:space="preserve"> 49</w:t>
      </w:r>
    </w:p>
    <w:p w14:paraId="5E6D8FEA" w14:textId="77777777" w:rsidR="00246864" w:rsidRPr="00C82ECE" w:rsidRDefault="00246864" w:rsidP="00246864">
      <w:pPr>
        <w:rPr>
          <w:lang w:eastAsia="ko-KR"/>
        </w:rPr>
      </w:pPr>
      <w:r w:rsidRPr="00C82ECE">
        <w:t>55218 Ingelheim am Rhein</w:t>
      </w:r>
    </w:p>
    <w:p w14:paraId="2C36E052" w14:textId="77777777" w:rsidR="00246864" w:rsidRPr="00455604" w:rsidRDefault="00246864" w:rsidP="00246864">
      <w:proofErr w:type="spellStart"/>
      <w:r w:rsidRPr="00455604">
        <w:t>Tyskland</w:t>
      </w:r>
      <w:proofErr w:type="spellEnd"/>
    </w:p>
    <w:p w14:paraId="33244B8F" w14:textId="77777777" w:rsidR="003563EF" w:rsidRPr="001278B6" w:rsidRDefault="003563EF" w:rsidP="001278B6">
      <w:pPr>
        <w:pStyle w:val="a3"/>
        <w:widowControl/>
        <w:adjustRightInd w:val="0"/>
        <w:snapToGrid w:val="0"/>
        <w:rPr>
          <w:snapToGrid w:val="0"/>
          <w:lang w:val="da-DK"/>
        </w:rPr>
      </w:pPr>
    </w:p>
    <w:p w14:paraId="127372B6" w14:textId="77777777" w:rsidR="003563EF" w:rsidRPr="001278B6" w:rsidRDefault="00473235" w:rsidP="001278B6">
      <w:pPr>
        <w:pStyle w:val="a3"/>
        <w:widowControl/>
        <w:adjustRightInd w:val="0"/>
        <w:snapToGrid w:val="0"/>
        <w:rPr>
          <w:snapToGrid w:val="0"/>
          <w:lang w:val="da-DK"/>
        </w:rPr>
      </w:pPr>
      <w:r w:rsidRPr="001278B6">
        <w:rPr>
          <w:snapToGrid w:val="0"/>
          <w:lang w:val="da-DK"/>
        </w:rPr>
        <w:t>Hvis du ønsker yderligere oplysninger om dette lægemiddel, skal du henvende dig til den lokale repræsentant for indehaveren af markedsføringstilladelsen:</w:t>
      </w:r>
    </w:p>
    <w:p w14:paraId="720467B6" w14:textId="77777777" w:rsidR="003563EF" w:rsidRDefault="003563EF" w:rsidP="001278B6">
      <w:pPr>
        <w:pStyle w:val="a3"/>
        <w:widowControl/>
        <w:adjustRightInd w:val="0"/>
        <w:snapToGrid w:val="0"/>
        <w:rPr>
          <w:rFonts w:eastAsia="맑은 고딕"/>
          <w:snapToGrid w:val="0"/>
          <w:lang w:val="da-DK" w:eastAsia="ko-KR"/>
        </w:rPr>
      </w:pPr>
    </w:p>
    <w:tbl>
      <w:tblPr>
        <w:tblW w:w="5000" w:type="pct"/>
        <w:tblLook w:val="04A0" w:firstRow="1" w:lastRow="0" w:firstColumn="1" w:lastColumn="0" w:noHBand="0" w:noVBand="1"/>
      </w:tblPr>
      <w:tblGrid>
        <w:gridCol w:w="4538"/>
        <w:gridCol w:w="4538"/>
      </w:tblGrid>
      <w:tr w:rsidR="00A653E6" w14:paraId="50EA5E97" w14:textId="77777777" w:rsidTr="008D6A97">
        <w:tc>
          <w:tcPr>
            <w:tcW w:w="2500" w:type="pct"/>
            <w:hideMark/>
          </w:tcPr>
          <w:p w14:paraId="485B4A91" w14:textId="77777777" w:rsidR="00A653E6" w:rsidRPr="00811842" w:rsidRDefault="00A653E6" w:rsidP="008D6A97">
            <w:pPr>
              <w:keepNext/>
              <w:keepLines/>
              <w:adjustRightInd w:val="0"/>
              <w:snapToGrid w:val="0"/>
              <w:rPr>
                <w:b/>
                <w:noProof/>
                <w:lang w:val="fr-CA" w:eastAsia="fr-FR"/>
              </w:rPr>
            </w:pPr>
            <w:bookmarkStart w:id="10" w:name="_Hlk169852830"/>
            <w:r w:rsidRPr="00811842">
              <w:rPr>
                <w:rFonts w:eastAsia="맑은 고딕"/>
                <w:b/>
                <w:noProof/>
                <w:lang w:val="fr-CA" w:eastAsia="fr-FR"/>
              </w:rPr>
              <w:t>België/Belgique/Belgien</w:t>
            </w:r>
          </w:p>
          <w:p w14:paraId="714881C0" w14:textId="77777777" w:rsidR="00A653E6" w:rsidRDefault="00A653E6" w:rsidP="008D6A97">
            <w:pPr>
              <w:keepNext/>
              <w:keepLines/>
              <w:adjustRightInd w:val="0"/>
              <w:snapToGrid w:val="0"/>
            </w:pPr>
            <w:r w:rsidRPr="00131FCB">
              <w:t xml:space="preserve">Celltrion Healthcare Belgium BVBA </w:t>
            </w:r>
          </w:p>
          <w:p w14:paraId="05A6A43B" w14:textId="77777777" w:rsidR="00A653E6" w:rsidRDefault="00A653E6" w:rsidP="008D6A97">
            <w:pPr>
              <w:keepNext/>
              <w:keepLines/>
              <w:adjustRightInd w:val="0"/>
              <w:snapToGrid w:val="0"/>
            </w:pPr>
            <w:proofErr w:type="spellStart"/>
            <w:r w:rsidRPr="00131FCB">
              <w:t>Tél</w:t>
            </w:r>
            <w:proofErr w:type="spellEnd"/>
            <w:r w:rsidRPr="00131FCB">
              <w:t>/Tel: + 32 1528 7418</w:t>
            </w:r>
          </w:p>
          <w:p w14:paraId="64F71A1D" w14:textId="77777777" w:rsidR="00A653E6" w:rsidRPr="00267BCE" w:rsidRDefault="00A653E6" w:rsidP="008D6A97">
            <w:pPr>
              <w:keepNext/>
              <w:keepLines/>
              <w:adjustRightInd w:val="0"/>
              <w:snapToGrid w:val="0"/>
              <w:rPr>
                <w:rFonts w:eastAsia="맑은 고딕"/>
                <w:noProof/>
                <w:lang w:eastAsia="ko-KR"/>
              </w:rPr>
            </w:pPr>
          </w:p>
        </w:tc>
        <w:tc>
          <w:tcPr>
            <w:tcW w:w="2500" w:type="pct"/>
          </w:tcPr>
          <w:p w14:paraId="76B1AA97" w14:textId="77777777" w:rsidR="00A653E6" w:rsidRPr="00811842" w:rsidRDefault="00A653E6" w:rsidP="008D6A97">
            <w:pPr>
              <w:keepNext/>
              <w:keepLines/>
              <w:tabs>
                <w:tab w:val="left" w:pos="-720"/>
              </w:tabs>
              <w:suppressAutoHyphens/>
              <w:adjustRightInd w:val="0"/>
              <w:snapToGrid w:val="0"/>
              <w:rPr>
                <w:b/>
                <w:noProof/>
                <w:lang w:eastAsia="fr-FR"/>
              </w:rPr>
            </w:pPr>
            <w:r w:rsidRPr="00811842">
              <w:rPr>
                <w:b/>
                <w:noProof/>
                <w:lang w:eastAsia="fr-FR"/>
              </w:rPr>
              <w:t>Lietuva</w:t>
            </w:r>
          </w:p>
          <w:p w14:paraId="18EA5DD1" w14:textId="77777777" w:rsidR="00A653E6" w:rsidRPr="00507267" w:rsidRDefault="00A653E6" w:rsidP="008D6A9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721DD13F" w14:textId="77777777" w:rsidR="00A653E6" w:rsidRDefault="00A653E6" w:rsidP="008D6A97">
            <w:pPr>
              <w:keepNext/>
              <w:keepLines/>
              <w:adjustRightInd w:val="0"/>
              <w:snapToGrid w:val="0"/>
              <w:rPr>
                <w:noProof/>
                <w:lang w:eastAsia="fr-FR"/>
              </w:rPr>
            </w:pPr>
            <w:r w:rsidRPr="007E01E8">
              <w:rPr>
                <w:noProof/>
                <w:lang w:eastAsia="fr-FR"/>
              </w:rPr>
              <w:t>Tel.: +36 1 231 0493</w:t>
            </w:r>
          </w:p>
          <w:p w14:paraId="7CF1522C" w14:textId="77777777" w:rsidR="00A653E6" w:rsidRPr="00507267" w:rsidRDefault="00A653E6" w:rsidP="008D6A97">
            <w:pPr>
              <w:keepNext/>
              <w:keepLines/>
              <w:adjustRightInd w:val="0"/>
              <w:snapToGrid w:val="0"/>
              <w:rPr>
                <w:noProof/>
                <w:lang w:eastAsia="fr-FR"/>
              </w:rPr>
            </w:pPr>
          </w:p>
        </w:tc>
      </w:tr>
      <w:tr w:rsidR="00A653E6" w14:paraId="69C8FCDB" w14:textId="77777777" w:rsidTr="008D6A97">
        <w:trPr>
          <w:trHeight w:val="619"/>
        </w:trPr>
        <w:tc>
          <w:tcPr>
            <w:tcW w:w="2500" w:type="pct"/>
          </w:tcPr>
          <w:p w14:paraId="4A3BA364" w14:textId="77777777" w:rsidR="00A653E6" w:rsidRPr="008C5B9D" w:rsidRDefault="00A653E6" w:rsidP="008D6A97">
            <w:pPr>
              <w:adjustRightInd w:val="0"/>
              <w:snapToGrid w:val="0"/>
              <w:rPr>
                <w:rFonts w:eastAsia="맑은 고딕"/>
                <w:b/>
                <w:noProof/>
                <w:lang w:eastAsia="fr-FR"/>
              </w:rPr>
            </w:pPr>
            <w:r w:rsidRPr="008C5B9D">
              <w:rPr>
                <w:b/>
                <w:bCs/>
              </w:rPr>
              <w:t>България</w:t>
            </w:r>
          </w:p>
          <w:p w14:paraId="6CF819AE" w14:textId="77777777" w:rsidR="00A653E6" w:rsidRPr="00507267" w:rsidRDefault="00A653E6"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04FE06B3" w14:textId="77777777" w:rsidR="00A653E6" w:rsidRPr="002E0902" w:rsidRDefault="00A653E6" w:rsidP="008D6A97">
            <w:pPr>
              <w:adjustRightInd w:val="0"/>
              <w:snapToGrid w:val="0"/>
            </w:pPr>
            <w:r w:rsidRPr="007E01E8">
              <w:rPr>
                <w:rFonts w:eastAsia="맑은 고딕"/>
                <w:noProof/>
                <w:lang w:eastAsia="fr-FR"/>
              </w:rPr>
              <w:t>Teл.: +36 1 231 0493</w:t>
            </w:r>
          </w:p>
          <w:p w14:paraId="2053B674" w14:textId="77777777" w:rsidR="00A653E6" w:rsidRPr="00507267" w:rsidRDefault="00A653E6" w:rsidP="008D6A97">
            <w:pPr>
              <w:adjustRightInd w:val="0"/>
              <w:snapToGrid w:val="0"/>
              <w:rPr>
                <w:noProof/>
                <w:lang w:eastAsia="fr-FR"/>
              </w:rPr>
            </w:pPr>
          </w:p>
        </w:tc>
        <w:tc>
          <w:tcPr>
            <w:tcW w:w="2500" w:type="pct"/>
            <w:hideMark/>
          </w:tcPr>
          <w:p w14:paraId="468B472C" w14:textId="77777777" w:rsidR="00A653E6" w:rsidRPr="00D05A06" w:rsidRDefault="00A653E6" w:rsidP="008D6A9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68364450" w14:textId="77777777" w:rsidR="00A653E6" w:rsidRDefault="00A653E6" w:rsidP="008D6A97">
            <w:pPr>
              <w:tabs>
                <w:tab w:val="left" w:pos="-720"/>
              </w:tabs>
              <w:suppressAutoHyphens/>
              <w:adjustRightInd w:val="0"/>
              <w:snapToGrid w:val="0"/>
            </w:pPr>
            <w:r w:rsidRPr="00131FCB">
              <w:t xml:space="preserve">Celltrion Healthcare Belgium BVBA </w:t>
            </w:r>
          </w:p>
          <w:p w14:paraId="04E7AF65" w14:textId="77777777" w:rsidR="00A653E6" w:rsidRDefault="00A653E6" w:rsidP="008D6A97">
            <w:pPr>
              <w:tabs>
                <w:tab w:val="left" w:pos="-720"/>
              </w:tabs>
              <w:suppressAutoHyphens/>
              <w:adjustRightInd w:val="0"/>
              <w:snapToGrid w:val="0"/>
            </w:pPr>
            <w:proofErr w:type="spellStart"/>
            <w:r w:rsidRPr="00131FCB">
              <w:t>Tél</w:t>
            </w:r>
            <w:proofErr w:type="spellEnd"/>
            <w:r w:rsidRPr="00131FCB">
              <w:t>/Tel: + 32 1528 7418</w:t>
            </w:r>
          </w:p>
          <w:p w14:paraId="4740729C" w14:textId="77777777" w:rsidR="00A653E6" w:rsidRPr="00507267" w:rsidRDefault="00A653E6" w:rsidP="008D6A97">
            <w:pPr>
              <w:tabs>
                <w:tab w:val="left" w:pos="-720"/>
              </w:tabs>
              <w:suppressAutoHyphens/>
              <w:adjustRightInd w:val="0"/>
              <w:snapToGrid w:val="0"/>
              <w:rPr>
                <w:rFonts w:eastAsia="맑은 고딕"/>
                <w:lang w:eastAsia="ko-KR"/>
              </w:rPr>
            </w:pPr>
          </w:p>
          <w:p w14:paraId="0E799800" w14:textId="77777777" w:rsidR="00A653E6" w:rsidRPr="00267BCE" w:rsidRDefault="00A653E6" w:rsidP="008D6A97">
            <w:pPr>
              <w:tabs>
                <w:tab w:val="left" w:pos="-720"/>
              </w:tabs>
              <w:suppressAutoHyphens/>
              <w:adjustRightInd w:val="0"/>
              <w:snapToGrid w:val="0"/>
              <w:rPr>
                <w:rFonts w:eastAsia="맑은 고딕"/>
                <w:lang w:eastAsia="ko-KR"/>
              </w:rPr>
            </w:pPr>
          </w:p>
        </w:tc>
      </w:tr>
      <w:tr w:rsidR="00A653E6" w14:paraId="103FC0E7" w14:textId="77777777" w:rsidTr="008D6A97">
        <w:tc>
          <w:tcPr>
            <w:tcW w:w="2500" w:type="pct"/>
            <w:hideMark/>
          </w:tcPr>
          <w:p w14:paraId="5E995AFD" w14:textId="77777777" w:rsidR="00A653E6" w:rsidRPr="008C5B9D" w:rsidRDefault="00A653E6" w:rsidP="008D6A9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3C44784C" w14:textId="77777777" w:rsidR="00A653E6" w:rsidRPr="00507267" w:rsidRDefault="00A653E6" w:rsidP="008D6A9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29C7D407" w14:textId="77777777" w:rsidR="00A653E6" w:rsidRDefault="00A653E6" w:rsidP="008D6A97">
            <w:pPr>
              <w:tabs>
                <w:tab w:val="left" w:pos="-720"/>
              </w:tabs>
              <w:suppressAutoHyphens/>
              <w:adjustRightInd w:val="0"/>
              <w:snapToGrid w:val="0"/>
              <w:rPr>
                <w:noProof/>
                <w:lang w:eastAsia="fr-FR"/>
              </w:rPr>
            </w:pPr>
            <w:r w:rsidRPr="007E01E8">
              <w:rPr>
                <w:rFonts w:eastAsia="맑은 고딕"/>
                <w:noProof/>
                <w:lang w:eastAsia="fr-FR"/>
              </w:rPr>
              <w:t>Tel: +36 1 231 0493</w:t>
            </w:r>
          </w:p>
          <w:p w14:paraId="721DD0E7" w14:textId="77777777" w:rsidR="00A653E6" w:rsidRPr="00507267" w:rsidRDefault="00A653E6" w:rsidP="008D6A97">
            <w:pPr>
              <w:tabs>
                <w:tab w:val="left" w:pos="-720"/>
              </w:tabs>
              <w:suppressAutoHyphens/>
              <w:adjustRightInd w:val="0"/>
              <w:snapToGrid w:val="0"/>
              <w:rPr>
                <w:noProof/>
                <w:lang w:eastAsia="fr-FR"/>
              </w:rPr>
            </w:pPr>
          </w:p>
        </w:tc>
        <w:tc>
          <w:tcPr>
            <w:tcW w:w="2500" w:type="pct"/>
          </w:tcPr>
          <w:p w14:paraId="7CE42F3E" w14:textId="77777777" w:rsidR="00A653E6" w:rsidRPr="00D05A06" w:rsidRDefault="00A653E6" w:rsidP="008D6A97">
            <w:pPr>
              <w:adjustRightInd w:val="0"/>
              <w:snapToGrid w:val="0"/>
              <w:rPr>
                <w:rFonts w:eastAsia="맑은 고딕"/>
                <w:b/>
                <w:noProof/>
                <w:lang w:eastAsia="fr-FR"/>
              </w:rPr>
            </w:pPr>
            <w:r w:rsidRPr="00811842">
              <w:rPr>
                <w:b/>
                <w:noProof/>
              </w:rPr>
              <w:t>Magyarország</w:t>
            </w:r>
          </w:p>
          <w:p w14:paraId="58F54B24" w14:textId="77777777" w:rsidR="00A653E6" w:rsidRPr="00507267" w:rsidRDefault="00A653E6"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55509A64" w14:textId="77777777" w:rsidR="00A653E6" w:rsidRPr="00507267" w:rsidRDefault="00A653E6" w:rsidP="008D6A9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A653E6" w14:paraId="4DE07BE1" w14:textId="77777777" w:rsidTr="008D6A97">
        <w:tc>
          <w:tcPr>
            <w:tcW w:w="2500" w:type="pct"/>
            <w:hideMark/>
          </w:tcPr>
          <w:p w14:paraId="78D817D6" w14:textId="77777777" w:rsidR="00A653E6" w:rsidRPr="008C5B9D" w:rsidRDefault="00A653E6" w:rsidP="004655B2">
            <w:pPr>
              <w:keepNext/>
              <w:keepLines/>
              <w:tabs>
                <w:tab w:val="left" w:pos="-720"/>
              </w:tabs>
              <w:suppressAutoHyphens/>
              <w:adjustRightInd w:val="0"/>
              <w:snapToGrid w:val="0"/>
              <w:rPr>
                <w:b/>
                <w:bCs/>
                <w:i/>
                <w:iCs/>
                <w:noProof/>
                <w:lang w:eastAsia="fr-FR"/>
              </w:rPr>
            </w:pPr>
            <w:r w:rsidRPr="008C5B9D">
              <w:rPr>
                <w:b/>
                <w:noProof/>
              </w:rPr>
              <w:lastRenderedPageBreak/>
              <w:t>Danmark</w:t>
            </w:r>
          </w:p>
          <w:p w14:paraId="1517563F" w14:textId="77777777" w:rsidR="00A653E6" w:rsidRDefault="00A653E6" w:rsidP="004655B2">
            <w:pPr>
              <w:pStyle w:val="paragraph"/>
              <w:keepNext/>
              <w:keepLines/>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3B5458C6" w14:textId="77777777" w:rsidR="00A653E6" w:rsidRDefault="00A653E6" w:rsidP="004655B2">
            <w:pPr>
              <w:pStyle w:val="paragraph"/>
              <w:keepNext/>
              <w:keepLines/>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2DDE6C03" w14:textId="77777777" w:rsidR="00A653E6" w:rsidRPr="00576C4F" w:rsidRDefault="00A653E6" w:rsidP="004655B2">
            <w:pPr>
              <w:pStyle w:val="paragraph"/>
              <w:keepNext/>
              <w:keepLines/>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8E27EE3" w14:textId="77777777" w:rsidR="00A653E6" w:rsidRPr="00F51A8D" w:rsidRDefault="00A653E6" w:rsidP="004655B2">
            <w:pPr>
              <w:keepNext/>
              <w:keepLines/>
              <w:tabs>
                <w:tab w:val="left" w:pos="-720"/>
              </w:tabs>
              <w:suppressAutoHyphens/>
              <w:adjustRightInd w:val="0"/>
              <w:snapToGrid w:val="0"/>
              <w:rPr>
                <w:rFonts w:eastAsia="맑은 고딕"/>
                <w:noProof/>
                <w:lang w:eastAsia="fr-FR"/>
              </w:rPr>
            </w:pPr>
          </w:p>
          <w:p w14:paraId="342AB577" w14:textId="77777777" w:rsidR="00A653E6" w:rsidRPr="00811842" w:rsidRDefault="00A653E6" w:rsidP="008D6A97">
            <w:pPr>
              <w:tabs>
                <w:tab w:val="left" w:pos="-720"/>
              </w:tabs>
              <w:suppressAutoHyphens/>
              <w:adjustRightInd w:val="0"/>
              <w:snapToGrid w:val="0"/>
              <w:rPr>
                <w:rFonts w:eastAsia="맑은 고딕"/>
                <w:noProof/>
                <w:lang w:eastAsia="fr-FR"/>
              </w:rPr>
            </w:pPr>
          </w:p>
        </w:tc>
        <w:tc>
          <w:tcPr>
            <w:tcW w:w="2500" w:type="pct"/>
          </w:tcPr>
          <w:p w14:paraId="65805864" w14:textId="77777777" w:rsidR="00A653E6" w:rsidRPr="00BA3060" w:rsidRDefault="00A653E6" w:rsidP="008D6A97">
            <w:pPr>
              <w:adjustRightInd w:val="0"/>
              <w:snapToGrid w:val="0"/>
              <w:rPr>
                <w:noProof/>
                <w:lang w:eastAsia="fr-FR"/>
              </w:rPr>
            </w:pPr>
            <w:r w:rsidRPr="00BA3060">
              <w:rPr>
                <w:rFonts w:eastAsia="맑은 고딕"/>
                <w:b/>
                <w:noProof/>
                <w:lang w:eastAsia="fr-FR"/>
              </w:rPr>
              <w:t>Malta</w:t>
            </w:r>
          </w:p>
          <w:p w14:paraId="07CBDD15" w14:textId="77777777" w:rsidR="00A653E6" w:rsidRDefault="00A653E6" w:rsidP="008D6A9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32ED1F8F" w14:textId="77777777" w:rsidR="00A653E6" w:rsidRPr="00D05A06" w:rsidRDefault="00A653E6" w:rsidP="008D6A97">
            <w:pPr>
              <w:adjustRightInd w:val="0"/>
              <w:snapToGrid w:val="0"/>
              <w:rPr>
                <w:rFonts w:eastAsia="맑은 고딕"/>
                <w:noProof/>
                <w:lang w:eastAsia="ko-KR"/>
              </w:rPr>
            </w:pPr>
            <w:r w:rsidRPr="002410B7">
              <w:rPr>
                <w:rFonts w:eastAsia="맑은 고딕"/>
                <w:noProof/>
                <w:lang w:eastAsia="fr-FR"/>
              </w:rPr>
              <w:t>Tel: +356 2093 9800</w:t>
            </w:r>
          </w:p>
        </w:tc>
      </w:tr>
      <w:tr w:rsidR="00A653E6" w14:paraId="2EC74A69" w14:textId="77777777" w:rsidTr="008D6A97">
        <w:tc>
          <w:tcPr>
            <w:tcW w:w="2500" w:type="pct"/>
            <w:hideMark/>
          </w:tcPr>
          <w:p w14:paraId="37FD32CB" w14:textId="77777777" w:rsidR="00A653E6" w:rsidRPr="008C5B9D" w:rsidRDefault="00A653E6" w:rsidP="008D6A97">
            <w:pPr>
              <w:adjustRightInd w:val="0"/>
              <w:snapToGrid w:val="0"/>
              <w:rPr>
                <w:b/>
                <w:noProof/>
                <w:lang w:eastAsia="fr-FR"/>
              </w:rPr>
            </w:pPr>
            <w:r w:rsidRPr="008C5B9D">
              <w:rPr>
                <w:rFonts w:eastAsia="맑은 고딕"/>
                <w:b/>
                <w:noProof/>
                <w:lang w:eastAsia="fr-FR"/>
              </w:rPr>
              <w:t>Deutschland</w:t>
            </w:r>
          </w:p>
          <w:p w14:paraId="0792573D" w14:textId="77777777" w:rsidR="00A653E6" w:rsidRDefault="00A653E6" w:rsidP="008D6A97">
            <w:pPr>
              <w:tabs>
                <w:tab w:val="left" w:pos="-720"/>
              </w:tabs>
              <w:suppressAutoHyphens/>
              <w:adjustRightInd w:val="0"/>
              <w:snapToGrid w:val="0"/>
            </w:pPr>
            <w:r w:rsidRPr="00131FCB">
              <w:t xml:space="preserve">Celltrion Healthcare </w:t>
            </w:r>
            <w:r w:rsidRPr="00E110AA">
              <w:t>Deutschland GmbH</w:t>
            </w:r>
            <w:r w:rsidRPr="00131FCB">
              <w:t xml:space="preserve"> </w:t>
            </w:r>
          </w:p>
          <w:p w14:paraId="14296933" w14:textId="77777777" w:rsidR="00A653E6" w:rsidRDefault="00A653E6" w:rsidP="008D6A97">
            <w:pPr>
              <w:tabs>
                <w:tab w:val="left" w:pos="-720"/>
              </w:tabs>
              <w:suppressAutoHyphens/>
              <w:adjustRightInd w:val="0"/>
              <w:snapToGrid w:val="0"/>
            </w:pPr>
            <w:r w:rsidRPr="00131FCB">
              <w:t xml:space="preserve">Tel: </w:t>
            </w:r>
            <w:r w:rsidRPr="00E110AA">
              <w:t>+49 (0)30 346494150</w:t>
            </w:r>
          </w:p>
          <w:p w14:paraId="13B5792F" w14:textId="77777777" w:rsidR="00A653E6" w:rsidRDefault="00A653E6" w:rsidP="008D6A9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33F6C7A2" w14:textId="77777777" w:rsidR="00A653E6" w:rsidRDefault="00A653E6" w:rsidP="008D6A97">
            <w:pPr>
              <w:tabs>
                <w:tab w:val="left" w:pos="-720"/>
              </w:tabs>
              <w:suppressAutoHyphens/>
              <w:adjustRightInd w:val="0"/>
              <w:snapToGrid w:val="0"/>
              <w:rPr>
                <w:rFonts w:eastAsia="맑은 고딕"/>
                <w:noProof/>
                <w:lang w:eastAsia="fr-FR"/>
              </w:rPr>
            </w:pPr>
          </w:p>
          <w:p w14:paraId="1D55573D" w14:textId="77777777" w:rsidR="00A653E6" w:rsidRPr="008C5B9D" w:rsidRDefault="00A653E6" w:rsidP="008D6A97">
            <w:pPr>
              <w:tabs>
                <w:tab w:val="left" w:pos="-720"/>
              </w:tabs>
              <w:suppressAutoHyphens/>
              <w:adjustRightInd w:val="0"/>
              <w:snapToGrid w:val="0"/>
              <w:rPr>
                <w:rFonts w:eastAsia="맑은 고딕"/>
                <w:noProof/>
                <w:lang w:eastAsia="fr-FR"/>
              </w:rPr>
            </w:pPr>
          </w:p>
        </w:tc>
        <w:tc>
          <w:tcPr>
            <w:tcW w:w="2500" w:type="pct"/>
          </w:tcPr>
          <w:p w14:paraId="6E007A47" w14:textId="77777777" w:rsidR="00A653E6" w:rsidRPr="00811842" w:rsidRDefault="00A653E6" w:rsidP="008D6A97">
            <w:pPr>
              <w:adjustRightInd w:val="0"/>
              <w:snapToGrid w:val="0"/>
              <w:rPr>
                <w:noProof/>
                <w:lang w:eastAsia="fr-FR"/>
              </w:rPr>
            </w:pPr>
            <w:r w:rsidRPr="00811842">
              <w:rPr>
                <w:rFonts w:eastAsia="맑은 고딕"/>
                <w:b/>
                <w:noProof/>
                <w:lang w:eastAsia="fr-FR"/>
              </w:rPr>
              <w:t>Nederland</w:t>
            </w:r>
          </w:p>
          <w:p w14:paraId="235FDBB3" w14:textId="77777777" w:rsidR="00A653E6" w:rsidRDefault="00A653E6" w:rsidP="008D6A97">
            <w:pPr>
              <w:adjustRightInd w:val="0"/>
              <w:snapToGrid w:val="0"/>
            </w:pPr>
            <w:r w:rsidRPr="00131FCB">
              <w:t xml:space="preserve">Celltrion Healthcare Netherlands B.V. </w:t>
            </w:r>
          </w:p>
          <w:p w14:paraId="2F7C16B4" w14:textId="77777777" w:rsidR="00A653E6" w:rsidRPr="008C5B9D" w:rsidRDefault="00A653E6" w:rsidP="008D6A97">
            <w:pPr>
              <w:adjustRightInd w:val="0"/>
              <w:snapToGrid w:val="0"/>
              <w:rPr>
                <w:rFonts w:eastAsia="맑은 고딕"/>
                <w:noProof/>
                <w:lang w:eastAsia="fr-FR"/>
              </w:rPr>
            </w:pPr>
            <w:r w:rsidRPr="00131FCB">
              <w:t>Tel: + 31 20 888 7300</w:t>
            </w:r>
          </w:p>
          <w:p w14:paraId="467FC577" w14:textId="77777777" w:rsidR="00A653E6" w:rsidRPr="00811842" w:rsidRDefault="00A653E6" w:rsidP="008D6A97">
            <w:pPr>
              <w:adjustRightInd w:val="0"/>
              <w:snapToGrid w:val="0"/>
              <w:rPr>
                <w:rFonts w:eastAsia="맑은 고딕"/>
                <w:noProof/>
                <w:lang w:eastAsia="fr-FR"/>
              </w:rPr>
            </w:pPr>
          </w:p>
        </w:tc>
      </w:tr>
      <w:tr w:rsidR="00A653E6" w14:paraId="388BA311" w14:textId="77777777" w:rsidTr="008D6A97">
        <w:tc>
          <w:tcPr>
            <w:tcW w:w="2500" w:type="pct"/>
            <w:hideMark/>
          </w:tcPr>
          <w:p w14:paraId="2E7E725E" w14:textId="77777777" w:rsidR="00A653E6" w:rsidRPr="00576C4F" w:rsidRDefault="00A653E6" w:rsidP="008D6A9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43F639EB" w14:textId="77777777" w:rsidR="00A653E6" w:rsidRPr="00576C4F" w:rsidRDefault="00A653E6" w:rsidP="008D6A97">
            <w:pPr>
              <w:tabs>
                <w:tab w:val="left" w:pos="-720"/>
              </w:tabs>
              <w:suppressAutoHyphens/>
              <w:adjustRightInd w:val="0"/>
              <w:snapToGrid w:val="0"/>
            </w:pPr>
            <w:r w:rsidRPr="00576C4F">
              <w:t xml:space="preserve">Celltrion Healthcare Hungary Kft. </w:t>
            </w:r>
          </w:p>
          <w:p w14:paraId="5818C7EF" w14:textId="77777777" w:rsidR="00A653E6" w:rsidRPr="00576C4F" w:rsidRDefault="00A653E6" w:rsidP="008D6A97">
            <w:pPr>
              <w:tabs>
                <w:tab w:val="left" w:pos="-720"/>
              </w:tabs>
              <w:suppressAutoHyphens/>
              <w:adjustRightInd w:val="0"/>
              <w:snapToGrid w:val="0"/>
            </w:pPr>
            <w:r w:rsidRPr="00576C4F">
              <w:t>Tel: +36 1 231 0493</w:t>
            </w:r>
          </w:p>
          <w:p w14:paraId="49BAF450" w14:textId="77777777" w:rsidR="00A653E6" w:rsidRPr="00576C4F" w:rsidRDefault="00A653E6" w:rsidP="008D6A97">
            <w:pPr>
              <w:tabs>
                <w:tab w:val="left" w:pos="-720"/>
              </w:tabs>
              <w:suppressAutoHyphens/>
              <w:adjustRightInd w:val="0"/>
              <w:snapToGrid w:val="0"/>
              <w:rPr>
                <w:rFonts w:eastAsia="맑은 고딕"/>
                <w:noProof/>
                <w:lang w:eastAsia="fr-FR"/>
              </w:rPr>
            </w:pPr>
          </w:p>
          <w:p w14:paraId="243B8EC2" w14:textId="77777777" w:rsidR="00A653E6" w:rsidRPr="00576C4F" w:rsidRDefault="00A653E6" w:rsidP="008D6A97">
            <w:pPr>
              <w:tabs>
                <w:tab w:val="left" w:pos="-720"/>
              </w:tabs>
              <w:suppressAutoHyphens/>
              <w:adjustRightInd w:val="0"/>
              <w:snapToGrid w:val="0"/>
              <w:rPr>
                <w:rFonts w:eastAsia="맑은 고딕"/>
                <w:noProof/>
                <w:lang w:eastAsia="ko-KR"/>
              </w:rPr>
            </w:pPr>
          </w:p>
        </w:tc>
        <w:tc>
          <w:tcPr>
            <w:tcW w:w="2500" w:type="pct"/>
          </w:tcPr>
          <w:p w14:paraId="1BE07F52" w14:textId="77777777" w:rsidR="00A653E6" w:rsidRPr="00576C4F" w:rsidRDefault="00A653E6" w:rsidP="008D6A97">
            <w:pPr>
              <w:tabs>
                <w:tab w:val="left" w:pos="-720"/>
              </w:tabs>
              <w:suppressAutoHyphens/>
              <w:adjustRightInd w:val="0"/>
              <w:snapToGrid w:val="0"/>
              <w:rPr>
                <w:noProof/>
                <w:lang w:eastAsia="fr-FR"/>
              </w:rPr>
            </w:pPr>
            <w:r w:rsidRPr="00576C4F">
              <w:rPr>
                <w:rFonts w:eastAsia="맑은 고딕"/>
                <w:b/>
                <w:noProof/>
                <w:lang w:eastAsia="fr-FR"/>
              </w:rPr>
              <w:t>Norge</w:t>
            </w:r>
          </w:p>
          <w:p w14:paraId="0E813446" w14:textId="77777777" w:rsidR="00A653E6" w:rsidRPr="00576C4F" w:rsidRDefault="00A653E6"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0DBF1FD9" w14:textId="77777777" w:rsidR="00A653E6" w:rsidRPr="00576C4F" w:rsidRDefault="00A653E6"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78358712" w14:textId="77777777" w:rsidR="00A653E6" w:rsidRPr="00576C4F" w:rsidRDefault="00A653E6" w:rsidP="008D6A97">
            <w:pPr>
              <w:tabs>
                <w:tab w:val="left" w:pos="-720"/>
              </w:tabs>
              <w:suppressAutoHyphens/>
              <w:adjustRightInd w:val="0"/>
              <w:snapToGrid w:val="0"/>
              <w:rPr>
                <w:rFonts w:eastAsia="맑은 고딕"/>
                <w:noProof/>
                <w:lang w:eastAsia="ko-KR"/>
              </w:rPr>
            </w:pPr>
          </w:p>
        </w:tc>
      </w:tr>
      <w:tr w:rsidR="00A653E6" w14:paraId="4E53950F" w14:textId="77777777" w:rsidTr="008D6A97">
        <w:tc>
          <w:tcPr>
            <w:tcW w:w="2500" w:type="pct"/>
            <w:hideMark/>
          </w:tcPr>
          <w:p w14:paraId="5FFBA1CF" w14:textId="77777777" w:rsidR="00A653E6" w:rsidRPr="00455604" w:rsidRDefault="00A653E6" w:rsidP="008D6A97">
            <w:pPr>
              <w:adjustRightInd w:val="0"/>
              <w:snapToGrid w:val="0"/>
              <w:rPr>
                <w:noProof/>
                <w:lang w:val="fr-CA" w:eastAsia="fr-FR"/>
              </w:rPr>
            </w:pPr>
            <w:r w:rsidRPr="00455604">
              <w:rPr>
                <w:b/>
                <w:noProof/>
                <w:lang w:val="fr-CA"/>
              </w:rPr>
              <w:t>España</w:t>
            </w:r>
          </w:p>
          <w:p w14:paraId="537B6BD9" w14:textId="77777777" w:rsidR="00A653E6" w:rsidRPr="00455604" w:rsidRDefault="00A653E6" w:rsidP="008D6A97">
            <w:pPr>
              <w:adjustRightInd w:val="0"/>
              <w:snapToGrid w:val="0"/>
              <w:rPr>
                <w:rFonts w:eastAsia="맑은 고딕"/>
                <w:noProof/>
                <w:lang w:val="fr-CA" w:eastAsia="ko-KR"/>
              </w:rPr>
            </w:pPr>
            <w:r w:rsidRPr="00455604">
              <w:rPr>
                <w:rFonts w:eastAsia="맑은 고딕"/>
                <w:noProof/>
                <w:lang w:val="fr-CA" w:eastAsia="fr-FR"/>
              </w:rPr>
              <w:t>CELLTRION FARMACEUTICA (ESPAÑA) S.L</w:t>
            </w:r>
            <w:r w:rsidRPr="00455604">
              <w:rPr>
                <w:rFonts w:eastAsia="맑은 고딕" w:hint="eastAsia"/>
                <w:noProof/>
                <w:lang w:val="fr-CA" w:eastAsia="ko-KR"/>
              </w:rPr>
              <w:t>.</w:t>
            </w:r>
          </w:p>
          <w:p w14:paraId="40E54204" w14:textId="77777777" w:rsidR="00A653E6" w:rsidRDefault="00A653E6" w:rsidP="008D6A9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362279A8" w14:textId="77777777" w:rsidR="00A653E6" w:rsidRPr="00811842" w:rsidRDefault="00A653E6" w:rsidP="008D6A97">
            <w:pPr>
              <w:adjustRightInd w:val="0"/>
              <w:snapToGrid w:val="0"/>
              <w:rPr>
                <w:rFonts w:eastAsia="맑은 고딕"/>
                <w:noProof/>
                <w:lang w:eastAsia="ko-KR"/>
              </w:rPr>
            </w:pPr>
          </w:p>
          <w:p w14:paraId="63A1F294" w14:textId="77777777" w:rsidR="00A653E6" w:rsidRPr="00811842" w:rsidRDefault="00A653E6" w:rsidP="008D6A97">
            <w:pPr>
              <w:adjustRightInd w:val="0"/>
              <w:snapToGrid w:val="0"/>
              <w:rPr>
                <w:b/>
                <w:noProof/>
                <w:lang w:eastAsia="fr-FR"/>
              </w:rPr>
            </w:pPr>
          </w:p>
        </w:tc>
        <w:tc>
          <w:tcPr>
            <w:tcW w:w="2500" w:type="pct"/>
          </w:tcPr>
          <w:p w14:paraId="56E3FBB8" w14:textId="77777777" w:rsidR="00A653E6" w:rsidRPr="00D05A06" w:rsidRDefault="00A653E6" w:rsidP="008D6A97">
            <w:pPr>
              <w:adjustRightInd w:val="0"/>
              <w:snapToGrid w:val="0"/>
              <w:rPr>
                <w:noProof/>
                <w:lang w:eastAsia="fr-FR"/>
              </w:rPr>
            </w:pPr>
            <w:r w:rsidRPr="00811842">
              <w:rPr>
                <w:b/>
                <w:noProof/>
              </w:rPr>
              <w:t>Österreich</w:t>
            </w:r>
          </w:p>
          <w:p w14:paraId="033CA787" w14:textId="77777777" w:rsidR="00A653E6" w:rsidRPr="00D05A06" w:rsidRDefault="00A653E6" w:rsidP="008D6A97">
            <w:pPr>
              <w:adjustRightInd w:val="0"/>
              <w:snapToGrid w:val="0"/>
              <w:rPr>
                <w:rFonts w:eastAsia="맑은 고딕"/>
                <w:noProof/>
                <w:lang w:eastAsia="ko-KR"/>
              </w:rPr>
            </w:pPr>
            <w:r w:rsidRPr="00D05A06">
              <w:rPr>
                <w:rFonts w:eastAsia="맑은 고딕"/>
                <w:noProof/>
                <w:lang w:eastAsia="fr-FR"/>
              </w:rPr>
              <w:t>Astro-Pharma GmbH</w:t>
            </w:r>
          </w:p>
          <w:p w14:paraId="48F385D0" w14:textId="77777777" w:rsidR="00A653E6" w:rsidRPr="00D05A06" w:rsidRDefault="00A653E6" w:rsidP="008D6A9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41615701" w14:textId="77777777" w:rsidR="00A653E6" w:rsidRPr="00D05A06" w:rsidRDefault="00A653E6" w:rsidP="008D6A97">
            <w:pPr>
              <w:tabs>
                <w:tab w:val="left" w:pos="-720"/>
              </w:tabs>
              <w:suppressAutoHyphens/>
              <w:adjustRightInd w:val="0"/>
              <w:snapToGrid w:val="0"/>
              <w:rPr>
                <w:noProof/>
                <w:lang w:eastAsia="fr-FR"/>
              </w:rPr>
            </w:pPr>
          </w:p>
        </w:tc>
      </w:tr>
      <w:tr w:rsidR="00A653E6" w14:paraId="468F3D2E" w14:textId="77777777" w:rsidTr="008D6A97">
        <w:tc>
          <w:tcPr>
            <w:tcW w:w="2500" w:type="pct"/>
          </w:tcPr>
          <w:p w14:paraId="778A362A" w14:textId="77777777" w:rsidR="00A653E6" w:rsidRPr="008C5B9D" w:rsidRDefault="00A653E6" w:rsidP="008D6A97">
            <w:pPr>
              <w:adjustRightInd w:val="0"/>
              <w:snapToGrid w:val="0"/>
              <w:rPr>
                <w:b/>
                <w:noProof/>
                <w:lang w:eastAsia="fr-FR"/>
              </w:rPr>
            </w:pPr>
            <w:r w:rsidRPr="008C5B9D">
              <w:rPr>
                <w:b/>
                <w:noProof/>
                <w:lang w:eastAsia="fr-FR"/>
              </w:rPr>
              <w:t>Ελλάδα</w:t>
            </w:r>
          </w:p>
          <w:p w14:paraId="0C4CE1AC" w14:textId="77777777" w:rsidR="00A653E6" w:rsidRPr="00811842" w:rsidRDefault="00A653E6" w:rsidP="008D6A97">
            <w:pPr>
              <w:adjustRightInd w:val="0"/>
              <w:snapToGrid w:val="0"/>
              <w:rPr>
                <w:noProof/>
                <w:lang w:eastAsia="fr-FR"/>
              </w:rPr>
            </w:pPr>
            <w:r w:rsidRPr="00811842">
              <w:rPr>
                <w:noProof/>
                <w:lang w:eastAsia="fr-FR"/>
              </w:rPr>
              <w:t>ΒΙΑΝΕΞ Α.Ε.</w:t>
            </w:r>
          </w:p>
          <w:p w14:paraId="7C7A330F" w14:textId="77777777" w:rsidR="00A653E6" w:rsidRPr="00811842" w:rsidRDefault="00A653E6" w:rsidP="008D6A97">
            <w:pPr>
              <w:adjustRightInd w:val="0"/>
              <w:snapToGrid w:val="0"/>
              <w:rPr>
                <w:noProof/>
                <w:lang w:eastAsia="fr-FR"/>
              </w:rPr>
            </w:pPr>
            <w:r w:rsidRPr="00811842">
              <w:rPr>
                <w:noProof/>
                <w:lang w:eastAsia="fr-FR"/>
              </w:rPr>
              <w:t>Τηλ: +30 210 8009111 - 120</w:t>
            </w:r>
          </w:p>
          <w:p w14:paraId="7705D3C3" w14:textId="77777777" w:rsidR="00A653E6" w:rsidRPr="00811842" w:rsidRDefault="00A653E6" w:rsidP="008D6A97">
            <w:pPr>
              <w:adjustRightInd w:val="0"/>
              <w:snapToGrid w:val="0"/>
              <w:rPr>
                <w:rFonts w:eastAsia="맑은 고딕"/>
                <w:noProof/>
                <w:lang w:eastAsia="fr-FR"/>
              </w:rPr>
            </w:pPr>
          </w:p>
        </w:tc>
        <w:tc>
          <w:tcPr>
            <w:tcW w:w="2500" w:type="pct"/>
          </w:tcPr>
          <w:p w14:paraId="3599CFDC" w14:textId="77777777" w:rsidR="00A653E6" w:rsidRPr="00D05A06" w:rsidRDefault="00A653E6" w:rsidP="008D6A97">
            <w:pPr>
              <w:adjustRightInd w:val="0"/>
              <w:snapToGrid w:val="0"/>
              <w:rPr>
                <w:rFonts w:eastAsia="맑은 고딕"/>
                <w:b/>
                <w:noProof/>
                <w:lang w:eastAsia="fr-FR"/>
              </w:rPr>
            </w:pPr>
            <w:r w:rsidRPr="00811842">
              <w:rPr>
                <w:rFonts w:eastAsia="맑은 고딕"/>
                <w:b/>
                <w:noProof/>
                <w:lang w:eastAsia="fr-FR"/>
              </w:rPr>
              <w:t>Polska</w:t>
            </w:r>
          </w:p>
          <w:p w14:paraId="68C7F3AD" w14:textId="77777777" w:rsidR="00A653E6" w:rsidRPr="002410B7" w:rsidRDefault="00A653E6"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59DC1BFF" w14:textId="77777777" w:rsidR="00A653E6" w:rsidRDefault="00A653E6" w:rsidP="008D6A97">
            <w:pPr>
              <w:adjustRightInd w:val="0"/>
              <w:snapToGrid w:val="0"/>
              <w:rPr>
                <w:b/>
                <w:noProof/>
              </w:rPr>
            </w:pPr>
            <w:r w:rsidRPr="007E01E8">
              <w:rPr>
                <w:rFonts w:eastAsia="맑은 고딕"/>
                <w:noProof/>
                <w:lang w:eastAsia="fr-FR"/>
              </w:rPr>
              <w:t>Tel.: +36 1 231 0493</w:t>
            </w:r>
          </w:p>
          <w:p w14:paraId="6C2AF1E8" w14:textId="77777777" w:rsidR="00A653E6" w:rsidRPr="00D05A06" w:rsidRDefault="00A653E6" w:rsidP="008D6A97">
            <w:pPr>
              <w:adjustRightInd w:val="0"/>
              <w:snapToGrid w:val="0"/>
              <w:rPr>
                <w:b/>
                <w:noProof/>
              </w:rPr>
            </w:pPr>
          </w:p>
        </w:tc>
      </w:tr>
      <w:tr w:rsidR="00A653E6" w:rsidRPr="00747393" w14:paraId="5E822542" w14:textId="77777777" w:rsidTr="008D6A97">
        <w:tc>
          <w:tcPr>
            <w:tcW w:w="2500" w:type="pct"/>
          </w:tcPr>
          <w:p w14:paraId="002AD6C5" w14:textId="77777777" w:rsidR="00A653E6" w:rsidRPr="008C5B9D" w:rsidRDefault="00A653E6" w:rsidP="008D6A97">
            <w:pPr>
              <w:adjustRightInd w:val="0"/>
              <w:snapToGrid w:val="0"/>
              <w:rPr>
                <w:b/>
                <w:noProof/>
                <w:lang w:eastAsia="ko-KR"/>
              </w:rPr>
            </w:pPr>
            <w:r w:rsidRPr="008C5B9D">
              <w:rPr>
                <w:b/>
                <w:noProof/>
                <w:lang w:eastAsia="ko-KR"/>
              </w:rPr>
              <w:t>France</w:t>
            </w:r>
          </w:p>
          <w:p w14:paraId="067DFADE" w14:textId="77777777" w:rsidR="00A653E6" w:rsidRPr="00811842" w:rsidRDefault="00A653E6" w:rsidP="008D6A97">
            <w:pPr>
              <w:adjustRightInd w:val="0"/>
              <w:snapToGrid w:val="0"/>
              <w:rPr>
                <w:noProof/>
                <w:lang w:eastAsia="ko-KR"/>
              </w:rPr>
            </w:pPr>
            <w:r w:rsidRPr="00811842">
              <w:rPr>
                <w:noProof/>
                <w:lang w:eastAsia="ko-KR"/>
              </w:rPr>
              <w:t>CELLTRION HEALTHCARE FRANCE SAS</w:t>
            </w:r>
          </w:p>
          <w:p w14:paraId="2A0DCC13" w14:textId="77777777" w:rsidR="00A653E6" w:rsidRPr="00811842" w:rsidRDefault="00A653E6" w:rsidP="008D6A97">
            <w:pPr>
              <w:adjustRightInd w:val="0"/>
              <w:snapToGrid w:val="0"/>
              <w:rPr>
                <w:rFonts w:eastAsia="맑은 고딕"/>
                <w:noProof/>
                <w:lang w:eastAsia="ko-KR"/>
              </w:rPr>
            </w:pPr>
            <w:r w:rsidRPr="00811842">
              <w:rPr>
                <w:noProof/>
                <w:lang w:eastAsia="ko-KR"/>
              </w:rPr>
              <w:t>Tél.: +33 (0)1 71 25 27 00</w:t>
            </w:r>
          </w:p>
          <w:p w14:paraId="6E5ACA4E" w14:textId="77777777" w:rsidR="00A653E6" w:rsidRPr="00811842" w:rsidRDefault="00A653E6" w:rsidP="008D6A97">
            <w:pPr>
              <w:adjustRightInd w:val="0"/>
              <w:snapToGrid w:val="0"/>
              <w:rPr>
                <w:rFonts w:eastAsia="맑은 고딕"/>
                <w:noProof/>
                <w:lang w:eastAsia="fr-FR"/>
              </w:rPr>
            </w:pPr>
          </w:p>
        </w:tc>
        <w:tc>
          <w:tcPr>
            <w:tcW w:w="2500" w:type="pct"/>
            <w:tcMar>
              <w:right w:w="108" w:type="dxa"/>
            </w:tcMar>
          </w:tcPr>
          <w:p w14:paraId="2C0FFE59" w14:textId="77777777" w:rsidR="00A653E6" w:rsidRPr="00D05A06" w:rsidRDefault="00A653E6" w:rsidP="008D6A97">
            <w:pPr>
              <w:adjustRightInd w:val="0"/>
              <w:snapToGrid w:val="0"/>
              <w:rPr>
                <w:noProof/>
                <w:lang w:val="fr-CA" w:eastAsia="fr-FR"/>
              </w:rPr>
            </w:pPr>
            <w:r w:rsidRPr="00811842">
              <w:rPr>
                <w:rFonts w:eastAsia="맑은 고딕"/>
                <w:b/>
                <w:noProof/>
                <w:lang w:val="fr-CA" w:eastAsia="fr-FR"/>
              </w:rPr>
              <w:t>Portugal</w:t>
            </w:r>
          </w:p>
          <w:p w14:paraId="7C9D5CB1" w14:textId="77777777" w:rsidR="00A653E6" w:rsidRPr="00D05A06" w:rsidRDefault="00A653E6" w:rsidP="008D6A9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3BF9F3A1" w14:textId="77777777" w:rsidR="00A653E6" w:rsidRPr="00455604" w:rsidRDefault="00A653E6" w:rsidP="008D6A97">
            <w:pPr>
              <w:adjustRightInd w:val="0"/>
              <w:snapToGrid w:val="0"/>
              <w:rPr>
                <w:rFonts w:eastAsia="맑은 고딕"/>
                <w:noProof/>
                <w:lang w:val="fr-CA" w:eastAsia="ko-KR"/>
              </w:rPr>
            </w:pPr>
            <w:r w:rsidRPr="00455604">
              <w:rPr>
                <w:rFonts w:eastAsia="맑은 고딕"/>
                <w:noProof/>
                <w:lang w:val="fr-CA" w:eastAsia="fr-FR"/>
              </w:rPr>
              <w:t>Tel: +351 21 936 8542</w:t>
            </w:r>
          </w:p>
          <w:p w14:paraId="7F042EBE" w14:textId="77777777" w:rsidR="00A653E6" w:rsidRPr="00455604" w:rsidRDefault="00A653E6" w:rsidP="008D6A97">
            <w:pPr>
              <w:adjustRightInd w:val="0"/>
              <w:snapToGrid w:val="0"/>
              <w:rPr>
                <w:b/>
                <w:noProof/>
                <w:lang w:val="fr-CA"/>
              </w:rPr>
            </w:pPr>
          </w:p>
        </w:tc>
      </w:tr>
      <w:tr w:rsidR="00A653E6" w14:paraId="0C40645E" w14:textId="77777777" w:rsidTr="008D6A97">
        <w:tc>
          <w:tcPr>
            <w:tcW w:w="2500" w:type="pct"/>
          </w:tcPr>
          <w:p w14:paraId="41DC4718" w14:textId="77777777" w:rsidR="00A653E6" w:rsidRPr="008C5B9D" w:rsidRDefault="00A653E6" w:rsidP="008D6A97">
            <w:pPr>
              <w:adjustRightInd w:val="0"/>
              <w:snapToGrid w:val="0"/>
              <w:rPr>
                <w:b/>
                <w:noProof/>
                <w:lang w:eastAsia="ko-KR"/>
              </w:rPr>
            </w:pPr>
            <w:r w:rsidRPr="008C5B9D">
              <w:rPr>
                <w:b/>
                <w:noProof/>
                <w:lang w:eastAsia="ko-KR"/>
              </w:rPr>
              <w:t>Hrvatska</w:t>
            </w:r>
          </w:p>
          <w:p w14:paraId="3AA02FB2" w14:textId="77777777" w:rsidR="00A653E6" w:rsidRPr="00811842" w:rsidRDefault="00A653E6" w:rsidP="008D6A97">
            <w:pPr>
              <w:adjustRightInd w:val="0"/>
              <w:snapToGrid w:val="0"/>
              <w:rPr>
                <w:noProof/>
                <w:lang w:eastAsia="ko-KR"/>
              </w:rPr>
            </w:pPr>
            <w:r w:rsidRPr="00811842">
              <w:rPr>
                <w:noProof/>
                <w:lang w:eastAsia="ko-KR"/>
              </w:rPr>
              <w:t>Oktal Pharma d.o.o.</w:t>
            </w:r>
          </w:p>
          <w:p w14:paraId="2E52A08C" w14:textId="77777777" w:rsidR="00A653E6" w:rsidRPr="00811842" w:rsidRDefault="00A653E6" w:rsidP="008D6A97">
            <w:pPr>
              <w:adjustRightInd w:val="0"/>
              <w:snapToGrid w:val="0"/>
              <w:rPr>
                <w:noProof/>
                <w:lang w:eastAsia="ko-KR"/>
              </w:rPr>
            </w:pPr>
            <w:r w:rsidRPr="00811842">
              <w:rPr>
                <w:noProof/>
                <w:lang w:eastAsia="ko-KR"/>
              </w:rPr>
              <w:t>Tel: +385 1 6595 777</w:t>
            </w:r>
          </w:p>
          <w:p w14:paraId="32E5EF61" w14:textId="77777777" w:rsidR="00A653E6" w:rsidRPr="00811842" w:rsidRDefault="00A653E6" w:rsidP="008D6A97">
            <w:pPr>
              <w:adjustRightInd w:val="0"/>
              <w:snapToGrid w:val="0"/>
              <w:rPr>
                <w:rFonts w:eastAsia="맑은 고딕"/>
                <w:noProof/>
                <w:lang w:eastAsia="fr-FR"/>
              </w:rPr>
            </w:pPr>
          </w:p>
        </w:tc>
        <w:tc>
          <w:tcPr>
            <w:tcW w:w="2500" w:type="pct"/>
          </w:tcPr>
          <w:p w14:paraId="3A1D31E2" w14:textId="77777777" w:rsidR="00A653E6" w:rsidRPr="00BA3060" w:rsidRDefault="00A653E6" w:rsidP="008D6A97">
            <w:pPr>
              <w:tabs>
                <w:tab w:val="left" w:pos="-720"/>
              </w:tabs>
              <w:suppressAutoHyphens/>
              <w:adjustRightInd w:val="0"/>
              <w:snapToGrid w:val="0"/>
              <w:rPr>
                <w:rFonts w:eastAsia="맑은 고딕"/>
                <w:b/>
                <w:noProof/>
                <w:lang w:eastAsia="fr-FR"/>
              </w:rPr>
            </w:pPr>
            <w:r w:rsidRPr="00BA3060">
              <w:rPr>
                <w:b/>
                <w:noProof/>
              </w:rPr>
              <w:t>România</w:t>
            </w:r>
          </w:p>
          <w:p w14:paraId="0D0F762F" w14:textId="77777777" w:rsidR="00A653E6" w:rsidRPr="00BA3060" w:rsidRDefault="00A653E6" w:rsidP="008D6A97">
            <w:pPr>
              <w:pStyle w:val="Default"/>
              <w:rPr>
                <w:sz w:val="22"/>
                <w:szCs w:val="22"/>
              </w:rPr>
            </w:pPr>
            <w:r w:rsidRPr="00BA3060">
              <w:rPr>
                <w:sz w:val="22"/>
                <w:szCs w:val="22"/>
              </w:rPr>
              <w:t xml:space="preserve">Celltrion Healthcare Hungary Kft. </w:t>
            </w:r>
          </w:p>
          <w:p w14:paraId="25359CB4" w14:textId="77777777" w:rsidR="00A653E6" w:rsidRPr="00BA3060" w:rsidRDefault="00A653E6" w:rsidP="008D6A9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14C95EA4" w14:textId="77777777" w:rsidR="00A653E6" w:rsidRPr="00BA3060" w:rsidRDefault="00A653E6" w:rsidP="008D6A97">
            <w:pPr>
              <w:adjustRightInd w:val="0"/>
              <w:snapToGrid w:val="0"/>
              <w:rPr>
                <w:b/>
                <w:noProof/>
              </w:rPr>
            </w:pPr>
          </w:p>
        </w:tc>
      </w:tr>
      <w:tr w:rsidR="00A653E6" w14:paraId="497614BC" w14:textId="77777777" w:rsidTr="008D6A97">
        <w:tc>
          <w:tcPr>
            <w:tcW w:w="2500" w:type="pct"/>
          </w:tcPr>
          <w:p w14:paraId="1D5712C3" w14:textId="77777777" w:rsidR="00A653E6" w:rsidRPr="008C5B9D" w:rsidRDefault="00A653E6" w:rsidP="008D6A97">
            <w:pPr>
              <w:tabs>
                <w:tab w:val="left" w:pos="-720"/>
              </w:tabs>
              <w:suppressAutoHyphens/>
              <w:adjustRightInd w:val="0"/>
              <w:snapToGrid w:val="0"/>
              <w:rPr>
                <w:noProof/>
                <w:lang w:eastAsia="fr-FR"/>
              </w:rPr>
            </w:pPr>
            <w:r w:rsidRPr="008C5B9D">
              <w:rPr>
                <w:rFonts w:eastAsia="맑은 고딕"/>
                <w:b/>
                <w:noProof/>
                <w:lang w:eastAsia="fr-FR"/>
              </w:rPr>
              <w:t>Ireland</w:t>
            </w:r>
          </w:p>
          <w:p w14:paraId="3077878D" w14:textId="77777777" w:rsidR="00A653E6" w:rsidRDefault="00A653E6" w:rsidP="008D6A97">
            <w:pPr>
              <w:adjustRightInd w:val="0"/>
              <w:snapToGrid w:val="0"/>
            </w:pPr>
            <w:r w:rsidRPr="00131FCB">
              <w:t xml:space="preserve">Celltrion Healthcare Ireland Limited </w:t>
            </w:r>
          </w:p>
          <w:p w14:paraId="7497F55A" w14:textId="77777777" w:rsidR="00A653E6" w:rsidRPr="008C5B9D" w:rsidRDefault="00A653E6" w:rsidP="008D6A97">
            <w:pPr>
              <w:adjustRightInd w:val="0"/>
              <w:snapToGrid w:val="0"/>
              <w:rPr>
                <w:rFonts w:eastAsia="맑은 고딕"/>
                <w:noProof/>
                <w:lang w:eastAsia="fr-FR"/>
              </w:rPr>
            </w:pPr>
            <w:r w:rsidRPr="00131FCB">
              <w:t>Tel: +353 1 223 4026</w:t>
            </w:r>
          </w:p>
          <w:p w14:paraId="04AC6254" w14:textId="77777777" w:rsidR="00A653E6" w:rsidRPr="00811842" w:rsidRDefault="00A653E6" w:rsidP="008D6A97">
            <w:pPr>
              <w:adjustRightInd w:val="0"/>
              <w:snapToGrid w:val="0"/>
              <w:rPr>
                <w:rFonts w:eastAsia="맑은 고딕"/>
                <w:noProof/>
                <w:lang w:eastAsia="fr-FR"/>
              </w:rPr>
            </w:pPr>
          </w:p>
        </w:tc>
        <w:tc>
          <w:tcPr>
            <w:tcW w:w="2500" w:type="pct"/>
          </w:tcPr>
          <w:p w14:paraId="6444E1E4" w14:textId="77777777" w:rsidR="00A653E6" w:rsidRPr="00BA3060" w:rsidRDefault="00A653E6" w:rsidP="008D6A97">
            <w:pPr>
              <w:adjustRightInd w:val="0"/>
              <w:snapToGrid w:val="0"/>
              <w:rPr>
                <w:rFonts w:eastAsia="맑은 고딕"/>
                <w:b/>
                <w:noProof/>
                <w:lang w:eastAsia="fr-FR"/>
              </w:rPr>
            </w:pPr>
            <w:r w:rsidRPr="00BA3060">
              <w:rPr>
                <w:rFonts w:eastAsia="맑은 고딕"/>
                <w:b/>
                <w:noProof/>
                <w:lang w:eastAsia="fr-FR"/>
              </w:rPr>
              <w:t>Slovenija</w:t>
            </w:r>
          </w:p>
          <w:p w14:paraId="419ADC91" w14:textId="77777777" w:rsidR="00A653E6" w:rsidRPr="00BA3060" w:rsidRDefault="00A653E6" w:rsidP="008D6A97">
            <w:pPr>
              <w:adjustRightInd w:val="0"/>
              <w:snapToGrid w:val="0"/>
              <w:rPr>
                <w:rFonts w:eastAsia="맑은 고딕"/>
                <w:noProof/>
                <w:lang w:eastAsia="fr-FR"/>
              </w:rPr>
            </w:pPr>
            <w:r w:rsidRPr="00BA3060">
              <w:rPr>
                <w:rFonts w:eastAsia="맑은 고딕"/>
                <w:noProof/>
                <w:lang w:eastAsia="fr-FR"/>
              </w:rPr>
              <w:t>OPH Oktal Pharma d.o.o.</w:t>
            </w:r>
          </w:p>
          <w:p w14:paraId="6D0C805D" w14:textId="77777777" w:rsidR="00A653E6" w:rsidRPr="00BA3060" w:rsidRDefault="00A653E6" w:rsidP="008D6A97">
            <w:pPr>
              <w:adjustRightInd w:val="0"/>
              <w:snapToGrid w:val="0"/>
              <w:rPr>
                <w:rFonts w:eastAsia="맑은 고딕"/>
                <w:noProof/>
                <w:lang w:eastAsia="fr-FR"/>
              </w:rPr>
            </w:pPr>
            <w:r w:rsidRPr="00BA3060">
              <w:rPr>
                <w:rFonts w:eastAsia="맑은 고딕"/>
                <w:noProof/>
                <w:lang w:eastAsia="fr-FR"/>
              </w:rPr>
              <w:t>Tel.: +386 1 519 29 22</w:t>
            </w:r>
          </w:p>
          <w:p w14:paraId="13A559E3" w14:textId="77777777" w:rsidR="00A653E6" w:rsidRPr="00BA3060" w:rsidRDefault="00A653E6" w:rsidP="008D6A97">
            <w:pPr>
              <w:adjustRightInd w:val="0"/>
              <w:snapToGrid w:val="0"/>
              <w:rPr>
                <w:b/>
                <w:noProof/>
              </w:rPr>
            </w:pPr>
          </w:p>
        </w:tc>
      </w:tr>
      <w:tr w:rsidR="00A653E6" w14:paraId="16B6DA18" w14:textId="77777777" w:rsidTr="008D6A97">
        <w:tc>
          <w:tcPr>
            <w:tcW w:w="2500" w:type="pct"/>
          </w:tcPr>
          <w:p w14:paraId="52063DC6" w14:textId="77777777" w:rsidR="00A653E6" w:rsidRPr="008C5B9D" w:rsidRDefault="00A653E6" w:rsidP="008D6A97">
            <w:pPr>
              <w:adjustRightInd w:val="0"/>
              <w:snapToGrid w:val="0"/>
              <w:rPr>
                <w:rFonts w:eastAsia="맑은 고딕"/>
                <w:noProof/>
                <w:lang w:eastAsia="fr-FR"/>
              </w:rPr>
            </w:pPr>
            <w:r w:rsidRPr="008C5B9D">
              <w:rPr>
                <w:rFonts w:eastAsia="맑은 고딕"/>
                <w:b/>
                <w:noProof/>
                <w:lang w:eastAsia="fr-FR"/>
              </w:rPr>
              <w:t>Ísland</w:t>
            </w:r>
          </w:p>
          <w:p w14:paraId="547CA7B9" w14:textId="77777777" w:rsidR="00A653E6" w:rsidRDefault="00A653E6" w:rsidP="008D6A97">
            <w:pPr>
              <w:adjustRightInd w:val="0"/>
              <w:snapToGrid w:val="0"/>
            </w:pPr>
            <w:r w:rsidRPr="00131FCB">
              <w:t xml:space="preserve">Celltrion Healthcare Hungary Kft. </w:t>
            </w:r>
          </w:p>
          <w:p w14:paraId="4D3B5965" w14:textId="77777777" w:rsidR="00A653E6" w:rsidRPr="008C5B9D" w:rsidRDefault="00A653E6" w:rsidP="008D6A97">
            <w:pPr>
              <w:adjustRightInd w:val="0"/>
              <w:snapToGrid w:val="0"/>
              <w:rPr>
                <w:rFonts w:eastAsia="맑은 고딕"/>
                <w:noProof/>
                <w:lang w:eastAsia="fr-FR"/>
              </w:rPr>
            </w:pPr>
            <w:r w:rsidRPr="00131FCB">
              <w:t>Sími: +36 1 231 0493</w:t>
            </w:r>
          </w:p>
          <w:p w14:paraId="78E154D3" w14:textId="77777777" w:rsidR="00A653E6" w:rsidRPr="00811842" w:rsidRDefault="00A653E6" w:rsidP="008D6A97">
            <w:pPr>
              <w:adjustRightInd w:val="0"/>
              <w:snapToGrid w:val="0"/>
              <w:rPr>
                <w:rFonts w:eastAsia="맑은 고딕"/>
                <w:noProof/>
                <w:lang w:eastAsia="fr-FR"/>
              </w:rPr>
            </w:pPr>
          </w:p>
        </w:tc>
        <w:tc>
          <w:tcPr>
            <w:tcW w:w="2500" w:type="pct"/>
          </w:tcPr>
          <w:p w14:paraId="77801A62" w14:textId="77777777" w:rsidR="00A653E6" w:rsidRPr="00811842" w:rsidRDefault="00A653E6" w:rsidP="008D6A97">
            <w:pPr>
              <w:adjustRightInd w:val="0"/>
              <w:snapToGrid w:val="0"/>
              <w:rPr>
                <w:rFonts w:eastAsia="맑은 고딕"/>
                <w:b/>
                <w:noProof/>
                <w:lang w:eastAsia="fr-FR"/>
              </w:rPr>
            </w:pPr>
            <w:r w:rsidRPr="00811842">
              <w:rPr>
                <w:b/>
                <w:noProof/>
              </w:rPr>
              <w:t>Slovenská republika</w:t>
            </w:r>
          </w:p>
          <w:p w14:paraId="08812BFF" w14:textId="77777777" w:rsidR="00A653E6" w:rsidRPr="002410B7" w:rsidRDefault="00A653E6"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5E819BFE" w14:textId="77777777" w:rsidR="00A653E6" w:rsidRPr="002410B7" w:rsidRDefault="00A653E6" w:rsidP="008D6A97">
            <w:pPr>
              <w:adjustRightInd w:val="0"/>
              <w:snapToGrid w:val="0"/>
              <w:rPr>
                <w:rFonts w:eastAsia="맑은 고딕"/>
                <w:b/>
                <w:noProof/>
                <w:lang w:eastAsia="fr-FR"/>
              </w:rPr>
            </w:pPr>
            <w:r w:rsidRPr="007E01E8">
              <w:rPr>
                <w:rFonts w:eastAsia="맑은 고딕"/>
                <w:noProof/>
                <w:lang w:eastAsia="fr-FR"/>
              </w:rPr>
              <w:t>Tel: +36 1 231 0493</w:t>
            </w:r>
          </w:p>
          <w:p w14:paraId="2D4A4E9E" w14:textId="77777777" w:rsidR="00A653E6" w:rsidRPr="002410B7" w:rsidRDefault="00A653E6" w:rsidP="008D6A97">
            <w:pPr>
              <w:adjustRightInd w:val="0"/>
              <w:snapToGrid w:val="0"/>
              <w:rPr>
                <w:rFonts w:eastAsia="맑은 고딕"/>
                <w:b/>
                <w:noProof/>
                <w:lang w:eastAsia="fr-FR"/>
              </w:rPr>
            </w:pPr>
          </w:p>
        </w:tc>
      </w:tr>
      <w:tr w:rsidR="00A653E6" w14:paraId="1814EF30" w14:textId="77777777" w:rsidTr="008D6A97">
        <w:tc>
          <w:tcPr>
            <w:tcW w:w="2500" w:type="pct"/>
          </w:tcPr>
          <w:p w14:paraId="7FD98443" w14:textId="77777777" w:rsidR="00A653E6" w:rsidRPr="008C5B9D" w:rsidRDefault="00A653E6" w:rsidP="008D6A97">
            <w:pPr>
              <w:adjustRightInd w:val="0"/>
              <w:snapToGrid w:val="0"/>
              <w:rPr>
                <w:noProof/>
                <w:lang w:eastAsia="fr-FR"/>
              </w:rPr>
            </w:pPr>
            <w:r w:rsidRPr="008C5B9D">
              <w:rPr>
                <w:rFonts w:eastAsia="맑은 고딕"/>
                <w:b/>
                <w:noProof/>
                <w:lang w:eastAsia="fr-FR"/>
              </w:rPr>
              <w:t>Italia</w:t>
            </w:r>
          </w:p>
          <w:p w14:paraId="56B3EB5C" w14:textId="77777777" w:rsidR="00A653E6" w:rsidRDefault="00A653E6" w:rsidP="008D6A97">
            <w:pPr>
              <w:adjustRightInd w:val="0"/>
              <w:snapToGrid w:val="0"/>
            </w:pPr>
            <w:r w:rsidRPr="00131FCB">
              <w:t xml:space="preserve">Celltrion Healthcare Italy S.R.L. </w:t>
            </w:r>
          </w:p>
          <w:p w14:paraId="4F590D5A" w14:textId="77777777" w:rsidR="00A653E6" w:rsidRPr="008C5B9D" w:rsidRDefault="00A653E6" w:rsidP="008D6A97">
            <w:pPr>
              <w:adjustRightInd w:val="0"/>
              <w:snapToGrid w:val="0"/>
              <w:rPr>
                <w:rFonts w:eastAsia="맑은 고딕"/>
                <w:noProof/>
                <w:lang w:eastAsia="fr-FR"/>
              </w:rPr>
            </w:pPr>
            <w:r w:rsidRPr="00131FCB">
              <w:t>Tel: +39 02</w:t>
            </w:r>
            <w:r>
              <w:t>47927040</w:t>
            </w:r>
          </w:p>
          <w:p w14:paraId="266202E0" w14:textId="77777777" w:rsidR="00A653E6" w:rsidRPr="00811842" w:rsidRDefault="00A653E6" w:rsidP="008D6A97">
            <w:pPr>
              <w:adjustRightInd w:val="0"/>
              <w:snapToGrid w:val="0"/>
              <w:rPr>
                <w:rFonts w:eastAsia="맑은 고딕"/>
                <w:noProof/>
                <w:lang w:eastAsia="fr-FR"/>
              </w:rPr>
            </w:pPr>
          </w:p>
        </w:tc>
        <w:tc>
          <w:tcPr>
            <w:tcW w:w="2500" w:type="pct"/>
          </w:tcPr>
          <w:p w14:paraId="4B8F58E6" w14:textId="77777777" w:rsidR="00E57E81" w:rsidRPr="00E57E81" w:rsidRDefault="00E57E81" w:rsidP="00E57E81">
            <w:pPr>
              <w:autoSpaceDE/>
              <w:autoSpaceDN/>
              <w:adjustRightInd w:val="0"/>
              <w:snapToGrid w:val="0"/>
              <w:rPr>
                <w:rFonts w:eastAsia="맑은 고딕"/>
                <w:noProof/>
                <w:lang w:eastAsia="fr-FR"/>
              </w:rPr>
            </w:pPr>
            <w:r w:rsidRPr="00E57E81">
              <w:rPr>
                <w:rFonts w:eastAsia="맑은 고딕"/>
                <w:b/>
                <w:noProof/>
                <w:lang w:eastAsia="fr-FR"/>
              </w:rPr>
              <w:t>Suomi/Finland</w:t>
            </w:r>
          </w:p>
          <w:p w14:paraId="55525695" w14:textId="77777777" w:rsidR="00E57E81" w:rsidRPr="00E57E81" w:rsidRDefault="00E57E81" w:rsidP="00E57E81">
            <w:pPr>
              <w:adjustRightInd w:val="0"/>
              <w:snapToGrid w:val="0"/>
              <w:rPr>
                <w:rFonts w:eastAsia="맑은 고딕"/>
              </w:rPr>
            </w:pPr>
            <w:r w:rsidRPr="00E57E81">
              <w:rPr>
                <w:rFonts w:eastAsia="맑은 고딕"/>
              </w:rPr>
              <w:t>Celltrion Healthcare Finland Oy.</w:t>
            </w:r>
          </w:p>
          <w:p w14:paraId="52D0629A" w14:textId="77777777" w:rsidR="00E57E81" w:rsidRPr="00E57E81" w:rsidRDefault="00E57E81" w:rsidP="00E57E81">
            <w:pPr>
              <w:adjustRightInd w:val="0"/>
              <w:snapToGrid w:val="0"/>
              <w:rPr>
                <w:ins w:id="11" w:author="만든 이"/>
                <w:rFonts w:eastAsia="맑은 고딕"/>
                <w:noProof/>
                <w:lang w:eastAsia="ko-KR"/>
              </w:rPr>
            </w:pPr>
            <w:r w:rsidRPr="00E57E81">
              <w:rPr>
                <w:rFonts w:eastAsia="맑은 고딕"/>
              </w:rPr>
              <w:t>Puh/Tel: +358 29 170 7755</w:t>
            </w:r>
          </w:p>
          <w:p w14:paraId="1F638AEF" w14:textId="77777777" w:rsidR="00E57E81" w:rsidRPr="00E57E81" w:rsidRDefault="00E57E81" w:rsidP="00E57E81">
            <w:pPr>
              <w:adjustRightInd w:val="0"/>
              <w:snapToGrid w:val="0"/>
              <w:rPr>
                <w:ins w:id="12" w:author="만든 이"/>
                <w:rFonts w:eastAsia="맑은 고딕"/>
                <w:noProof/>
                <w:lang w:eastAsia="ko-KR"/>
              </w:rPr>
            </w:pPr>
            <w:ins w:id="13" w:author="만든 이">
              <w:r w:rsidRPr="00E57E81">
                <w:rPr>
                  <w:rFonts w:eastAsia="맑은 고딕"/>
                  <w:noProof/>
                  <w:lang w:eastAsia="ko-KR"/>
                </w:rPr>
                <w:t>contact_fi@celltrionhc.com</w:t>
              </w:r>
            </w:ins>
          </w:p>
          <w:p w14:paraId="3EC49F02" w14:textId="790EE5B5" w:rsidR="00A653E6" w:rsidRPr="00267BCE" w:rsidRDefault="00A653E6" w:rsidP="008D6A97">
            <w:pPr>
              <w:adjustRightInd w:val="0"/>
              <w:snapToGrid w:val="0"/>
              <w:rPr>
                <w:rFonts w:eastAsia="맑은 고딕"/>
                <w:noProof/>
                <w:lang w:eastAsia="ko-KR"/>
              </w:rPr>
            </w:pPr>
          </w:p>
        </w:tc>
      </w:tr>
      <w:tr w:rsidR="00E57E81" w14:paraId="68A6EEBD" w14:textId="77777777" w:rsidTr="008D6A97">
        <w:tc>
          <w:tcPr>
            <w:tcW w:w="2500" w:type="pct"/>
          </w:tcPr>
          <w:p w14:paraId="7628C7A5" w14:textId="77777777" w:rsidR="00E57E81" w:rsidRPr="00BA3060" w:rsidRDefault="00E57E81" w:rsidP="00E57E81">
            <w:pPr>
              <w:keepNext/>
              <w:keepLines/>
              <w:tabs>
                <w:tab w:val="left" w:pos="-720"/>
              </w:tabs>
              <w:suppressAutoHyphens/>
              <w:adjustRightInd w:val="0"/>
              <w:snapToGrid w:val="0"/>
              <w:rPr>
                <w:b/>
                <w:bCs/>
                <w:noProof/>
                <w:lang w:eastAsia="fr-FR"/>
              </w:rPr>
            </w:pPr>
            <w:r w:rsidRPr="00BA3060">
              <w:rPr>
                <w:b/>
                <w:noProof/>
              </w:rPr>
              <w:t>Κύπρος</w:t>
            </w:r>
          </w:p>
          <w:p w14:paraId="15800286" w14:textId="77777777" w:rsidR="00E57E81" w:rsidRPr="00BA3060" w:rsidRDefault="00E57E81" w:rsidP="00E57E81">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6AED92A3" w14:textId="77777777" w:rsidR="00E57E81" w:rsidRPr="00BA3060" w:rsidRDefault="00E57E81" w:rsidP="00E57E81">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371F6DC1" w14:textId="77777777" w:rsidR="00E57E81" w:rsidRPr="00BA3060" w:rsidRDefault="00E57E81" w:rsidP="00E57E81">
            <w:pPr>
              <w:keepNext/>
              <w:keepLines/>
              <w:adjustRightInd w:val="0"/>
              <w:snapToGrid w:val="0"/>
              <w:rPr>
                <w:rFonts w:eastAsia="맑은 고딕"/>
                <w:b/>
                <w:noProof/>
                <w:lang w:eastAsia="fr-FR"/>
              </w:rPr>
            </w:pPr>
          </w:p>
        </w:tc>
        <w:tc>
          <w:tcPr>
            <w:tcW w:w="2500" w:type="pct"/>
          </w:tcPr>
          <w:p w14:paraId="2A4F60FD" w14:textId="77777777" w:rsidR="00E57E81" w:rsidRPr="00BA3060" w:rsidRDefault="00E57E81" w:rsidP="00E57E81">
            <w:pPr>
              <w:keepNext/>
              <w:keepLines/>
              <w:tabs>
                <w:tab w:val="left" w:pos="-720"/>
              </w:tabs>
              <w:suppressAutoHyphens/>
              <w:adjustRightInd w:val="0"/>
              <w:snapToGrid w:val="0"/>
              <w:rPr>
                <w:b/>
                <w:noProof/>
                <w:lang w:eastAsia="fr-FR"/>
              </w:rPr>
            </w:pPr>
            <w:r w:rsidRPr="00BA3060">
              <w:rPr>
                <w:b/>
                <w:noProof/>
              </w:rPr>
              <w:t>Sverige</w:t>
            </w:r>
          </w:p>
          <w:p w14:paraId="4248A519" w14:textId="77777777" w:rsidR="00E57E81" w:rsidRDefault="00E57E81" w:rsidP="00E57E81">
            <w:pPr>
              <w:keepNext/>
              <w:keepLines/>
              <w:tabs>
                <w:tab w:val="left" w:pos="-720"/>
              </w:tabs>
              <w:suppressAutoHyphens/>
              <w:adjustRightInd w:val="0"/>
              <w:snapToGrid w:val="0"/>
              <w:rPr>
                <w:ins w:id="14" w:author="만든 이"/>
                <w:lang w:eastAsia="ko-KR"/>
              </w:rPr>
            </w:pPr>
            <w:r>
              <w:rPr>
                <w:rFonts w:hint="eastAsia"/>
                <w:lang w:eastAsia="ko-KR"/>
              </w:rPr>
              <w:t>Celltrion Sweden AB</w:t>
            </w:r>
          </w:p>
          <w:p w14:paraId="77F28C17" w14:textId="77777777" w:rsidR="00E57E81" w:rsidRDefault="00E57E81" w:rsidP="00E57E81">
            <w:pPr>
              <w:keepNext/>
              <w:keepLines/>
              <w:tabs>
                <w:tab w:val="left" w:pos="-720"/>
              </w:tabs>
              <w:suppressAutoHyphens/>
              <w:adjustRightInd w:val="0"/>
              <w:snapToGrid w:val="0"/>
              <w:rPr>
                <w:lang w:eastAsia="ko-KR"/>
              </w:rPr>
            </w:pPr>
            <w:ins w:id="15" w:author="만든 이">
              <w:r w:rsidRPr="00BA25AD">
                <w:rPr>
                  <w:lang w:eastAsia="ko-KR"/>
                </w:rPr>
                <w:t>Tel: +46 8 80 11 77</w:t>
              </w:r>
            </w:ins>
          </w:p>
          <w:p w14:paraId="2EF550A8" w14:textId="1FC01656" w:rsidR="00E57E81" w:rsidRPr="00FF297E" w:rsidRDefault="00E57E81" w:rsidP="00E57E81">
            <w:pPr>
              <w:keepNext/>
              <w:keepLines/>
              <w:tabs>
                <w:tab w:val="left" w:pos="-720"/>
              </w:tabs>
              <w:suppressAutoHyphens/>
              <w:adjustRightInd w:val="0"/>
              <w:snapToGrid w:val="0"/>
              <w:rPr>
                <w:rFonts w:eastAsia="맑은 고딕"/>
                <w:bCs/>
                <w:noProof/>
                <w:lang w:eastAsia="ko-KR"/>
              </w:rPr>
            </w:pPr>
            <w:del w:id="16" w:author="만든 이">
              <w:r w:rsidRPr="00FF297E" w:rsidDel="00717A28">
                <w:rPr>
                  <w:rFonts w:eastAsia="맑은 고딕" w:hint="eastAsia"/>
                  <w:bCs/>
                  <w:noProof/>
                  <w:lang w:eastAsia="ko-KR"/>
                </w:rPr>
                <w:delText>c</w:delText>
              </w:r>
            </w:del>
            <w:ins w:id="17" w:author="만든 이">
              <w:r w:rsidR="00717A28">
                <w:rPr>
                  <w:rFonts w:eastAsia="맑은 고딕" w:hint="eastAsia"/>
                  <w:bCs/>
                  <w:noProof/>
                  <w:lang w:eastAsia="ko-KR"/>
                </w:rPr>
                <w:t>C</w:t>
              </w:r>
            </w:ins>
            <w:r w:rsidRPr="00FF297E">
              <w:rPr>
                <w:rFonts w:eastAsia="맑은 고딕" w:hint="eastAsia"/>
                <w:bCs/>
                <w:noProof/>
                <w:lang w:eastAsia="ko-KR"/>
              </w:rPr>
              <w:t>ontact_se@celltrionhc.com</w:t>
            </w:r>
          </w:p>
          <w:p w14:paraId="247CF3EF" w14:textId="77777777" w:rsidR="00E57E81" w:rsidRPr="00BA3060" w:rsidRDefault="00E57E81" w:rsidP="00E57E81">
            <w:pPr>
              <w:keepNext/>
              <w:keepLines/>
              <w:tabs>
                <w:tab w:val="left" w:pos="-720"/>
              </w:tabs>
              <w:suppressAutoHyphens/>
              <w:adjustRightInd w:val="0"/>
              <w:snapToGrid w:val="0"/>
              <w:rPr>
                <w:rFonts w:eastAsia="맑은 고딕"/>
                <w:b/>
                <w:noProof/>
                <w:lang w:eastAsia="ko-KR"/>
              </w:rPr>
            </w:pPr>
          </w:p>
        </w:tc>
      </w:tr>
      <w:tr w:rsidR="00E57E81" w14:paraId="3D5A5609" w14:textId="77777777" w:rsidTr="008D6A97">
        <w:tc>
          <w:tcPr>
            <w:tcW w:w="2500" w:type="pct"/>
          </w:tcPr>
          <w:p w14:paraId="6721BD79" w14:textId="77777777" w:rsidR="00E57E81" w:rsidRPr="00BA3060" w:rsidRDefault="00E57E81" w:rsidP="00E57E81">
            <w:pPr>
              <w:adjustRightInd w:val="0"/>
              <w:snapToGrid w:val="0"/>
              <w:rPr>
                <w:rFonts w:eastAsia="맑은 고딕"/>
                <w:b/>
                <w:noProof/>
                <w:lang w:eastAsia="fr-FR"/>
              </w:rPr>
            </w:pPr>
            <w:r w:rsidRPr="00BA3060">
              <w:rPr>
                <w:rFonts w:eastAsia="맑은 고딕"/>
                <w:b/>
                <w:noProof/>
                <w:lang w:eastAsia="fr-FR"/>
              </w:rPr>
              <w:t>Latvija</w:t>
            </w:r>
          </w:p>
          <w:p w14:paraId="146EAB9E" w14:textId="77777777" w:rsidR="00E57E81" w:rsidRPr="00BA3060" w:rsidRDefault="00E57E81" w:rsidP="00E57E81">
            <w:pPr>
              <w:adjustRightInd w:val="0"/>
              <w:snapToGrid w:val="0"/>
              <w:rPr>
                <w:rFonts w:eastAsia="맑은 고딕"/>
                <w:noProof/>
                <w:lang w:eastAsia="fr-FR"/>
              </w:rPr>
            </w:pPr>
            <w:r w:rsidRPr="00BA3060">
              <w:rPr>
                <w:rFonts w:eastAsia="맑은 고딕"/>
                <w:noProof/>
                <w:lang w:eastAsia="fr-FR"/>
              </w:rPr>
              <w:t>Celltrion Healthcare Hungary Kft.</w:t>
            </w:r>
          </w:p>
          <w:p w14:paraId="74BA8C02" w14:textId="77777777" w:rsidR="00E57E81" w:rsidRPr="00BA3060" w:rsidRDefault="00E57E81" w:rsidP="00E57E81">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339A3119" w14:textId="77777777" w:rsidR="00E57E81" w:rsidRPr="00BA3060" w:rsidRDefault="00E57E81" w:rsidP="00E57E81">
            <w:pPr>
              <w:tabs>
                <w:tab w:val="left" w:pos="-720"/>
              </w:tabs>
              <w:suppressAutoHyphens/>
              <w:adjustRightInd w:val="0"/>
              <w:snapToGrid w:val="0"/>
              <w:rPr>
                <w:rFonts w:eastAsia="맑은 고딕"/>
                <w:b/>
                <w:noProof/>
                <w:lang w:eastAsia="fr-FR"/>
              </w:rPr>
            </w:pPr>
          </w:p>
        </w:tc>
      </w:tr>
      <w:bookmarkEnd w:id="10"/>
    </w:tbl>
    <w:p w14:paraId="075DC771" w14:textId="77777777" w:rsidR="009574AB" w:rsidRDefault="009574AB" w:rsidP="001278B6">
      <w:pPr>
        <w:pStyle w:val="a3"/>
        <w:widowControl/>
        <w:adjustRightInd w:val="0"/>
        <w:snapToGrid w:val="0"/>
        <w:rPr>
          <w:rFonts w:eastAsia="맑은 고딕"/>
          <w:snapToGrid w:val="0"/>
          <w:lang w:eastAsia="ko-KR"/>
        </w:rPr>
      </w:pPr>
    </w:p>
    <w:p w14:paraId="0E94F624" w14:textId="77777777" w:rsidR="00A653E6" w:rsidRPr="009574AB" w:rsidRDefault="00A653E6" w:rsidP="001278B6">
      <w:pPr>
        <w:pStyle w:val="a3"/>
        <w:widowControl/>
        <w:adjustRightInd w:val="0"/>
        <w:snapToGrid w:val="0"/>
        <w:rPr>
          <w:rFonts w:eastAsia="맑은 고딕"/>
          <w:snapToGrid w:val="0"/>
          <w:lang w:eastAsia="ko-KR"/>
        </w:rPr>
      </w:pPr>
    </w:p>
    <w:p w14:paraId="13769376" w14:textId="77777777" w:rsidR="00FD2798" w:rsidRPr="00747393" w:rsidRDefault="00473235" w:rsidP="00747393">
      <w:pPr>
        <w:rPr>
          <w:b/>
          <w:bCs/>
          <w:snapToGrid w:val="0"/>
          <w:lang w:val="da-DK"/>
        </w:rPr>
      </w:pPr>
      <w:r w:rsidRPr="00747393">
        <w:rPr>
          <w:b/>
          <w:bCs/>
          <w:snapToGrid w:val="0"/>
          <w:lang w:val="da-DK"/>
        </w:rPr>
        <w:t xml:space="preserve">Denne indlægsseddel blev senest ændret den </w:t>
      </w:r>
      <w:r w:rsidR="00003928" w:rsidRPr="00747393">
        <w:rPr>
          <w:b/>
          <w:bCs/>
          <w:noProof/>
          <w:color w:val="000000"/>
          <w:lang w:val="da-DK"/>
        </w:rPr>
        <w:t>&lt;{MM/YYYY}&gt;</w:t>
      </w:r>
      <w:r w:rsidR="00003928" w:rsidRPr="00747393">
        <w:rPr>
          <w:b/>
          <w:bCs/>
          <w:noProof/>
          <w:color w:val="000000"/>
          <w:lang w:val="da-DK" w:eastAsia="ko-KR"/>
        </w:rPr>
        <w:t>.</w:t>
      </w:r>
    </w:p>
    <w:p w14:paraId="4703C90B" w14:textId="77777777" w:rsidR="00FD2798" w:rsidRPr="001278B6" w:rsidRDefault="00FD2798" w:rsidP="00747393">
      <w:pPr>
        <w:rPr>
          <w:b/>
          <w:bCs/>
          <w:snapToGrid w:val="0"/>
          <w:lang w:val="da-DK"/>
        </w:rPr>
      </w:pPr>
    </w:p>
    <w:p w14:paraId="77448728" w14:textId="77777777" w:rsidR="003563EF" w:rsidRPr="00747393" w:rsidRDefault="00473235" w:rsidP="00747393">
      <w:pPr>
        <w:rPr>
          <w:b/>
          <w:bCs/>
          <w:snapToGrid w:val="0"/>
          <w:lang w:val="da-DK"/>
        </w:rPr>
      </w:pPr>
      <w:r w:rsidRPr="00747393">
        <w:rPr>
          <w:b/>
          <w:bCs/>
          <w:snapToGrid w:val="0"/>
          <w:lang w:val="da-DK"/>
        </w:rPr>
        <w:lastRenderedPageBreak/>
        <w:t>Andre informationskilder</w:t>
      </w:r>
    </w:p>
    <w:p w14:paraId="1B01F368" w14:textId="77777777" w:rsidR="00FD2798" w:rsidRDefault="00FD2798">
      <w:pPr>
        <w:pStyle w:val="a3"/>
        <w:widowControl/>
        <w:adjustRightInd w:val="0"/>
        <w:snapToGrid w:val="0"/>
        <w:rPr>
          <w:snapToGrid w:val="0"/>
          <w:lang w:val="da-DK"/>
        </w:rPr>
      </w:pPr>
    </w:p>
    <w:p w14:paraId="477ADABE" w14:textId="029D1EE3" w:rsidR="00667130" w:rsidRPr="00667130" w:rsidRDefault="00473235" w:rsidP="000A6BD2">
      <w:pPr>
        <w:pStyle w:val="a3"/>
        <w:widowControl/>
        <w:adjustRightInd w:val="0"/>
        <w:snapToGrid w:val="0"/>
        <w:rPr>
          <w:snapToGrid w:val="0"/>
          <w:lang w:val="da-DK"/>
        </w:rPr>
      </w:pPr>
      <w:r w:rsidRPr="001278B6">
        <w:rPr>
          <w:snapToGrid w:val="0"/>
          <w:lang w:val="da-DK"/>
        </w:rPr>
        <w:t>Du kan finde yderligere oplysninger om</w:t>
      </w:r>
      <w:r w:rsidR="004361F8">
        <w:rPr>
          <w:snapToGrid w:val="0"/>
          <w:lang w:val="da-DK"/>
        </w:rPr>
        <w:t xml:space="preserve"> </w:t>
      </w:r>
      <w:r w:rsidR="004361F8" w:rsidRPr="004361F8">
        <w:rPr>
          <w:snapToGrid w:val="0"/>
          <w:lang w:val="da-DK"/>
        </w:rPr>
        <w:t xml:space="preserve">dette lægemiddel </w:t>
      </w:r>
      <w:r w:rsidRPr="001278B6">
        <w:rPr>
          <w:snapToGrid w:val="0"/>
          <w:lang w:val="da-DK"/>
        </w:rPr>
        <w:t xml:space="preserve">på Det Europæiske Lægemiddelagenturs hjemmeside </w:t>
      </w:r>
      <w:bookmarkStart w:id="18" w:name="_Hlk183094901"/>
      <w:r w:rsidR="00DB6B62" w:rsidRPr="00AE0B87">
        <w:rPr>
          <w:snapToGrid w:val="0"/>
          <w:color w:val="0000FF"/>
          <w:lang w:val="de-DE"/>
        </w:rPr>
        <w:fldChar w:fldCharType="begin"/>
      </w:r>
      <w:r w:rsidR="00DB6B62" w:rsidRPr="00AE0B87">
        <w:rPr>
          <w:snapToGrid w:val="0"/>
          <w:color w:val="0000FF"/>
          <w:lang w:val="de-DE"/>
        </w:rPr>
        <w:instrText>HYPERLINK "https://www.ema.europa.eu "</w:instrText>
      </w:r>
      <w:r w:rsidR="00DB6B62" w:rsidRPr="00AE0B87">
        <w:rPr>
          <w:snapToGrid w:val="0"/>
          <w:color w:val="0000FF"/>
          <w:lang w:val="de-DE"/>
        </w:rPr>
      </w:r>
      <w:r w:rsidR="00DB6B62" w:rsidRPr="00AE0B87">
        <w:rPr>
          <w:snapToGrid w:val="0"/>
          <w:color w:val="0000FF"/>
          <w:lang w:val="de-DE"/>
        </w:rPr>
        <w:fldChar w:fldCharType="separate"/>
      </w:r>
      <w:r w:rsidR="00DB6B62" w:rsidRPr="00AE0B87">
        <w:rPr>
          <w:rStyle w:val="ab"/>
          <w:snapToGrid w:val="0"/>
          <w:lang w:val="de-DE"/>
        </w:rPr>
        <w:t>https://www.ema.europa.eu</w:t>
      </w:r>
      <w:r w:rsidR="00DB6B62" w:rsidRPr="00AE0B87">
        <w:rPr>
          <w:snapToGrid w:val="0"/>
          <w:color w:val="0000FF"/>
          <w:lang w:val="de-DE"/>
        </w:rPr>
        <w:fldChar w:fldCharType="end"/>
      </w:r>
      <w:bookmarkEnd w:id="18"/>
      <w:r w:rsidR="00DC0B47">
        <w:rPr>
          <w:snapToGrid w:val="0"/>
          <w:lang w:val="da-DK"/>
        </w:rPr>
        <w:t>.</w:t>
      </w:r>
    </w:p>
    <w:sectPr w:rsidR="00667130" w:rsidRPr="00667130" w:rsidSect="0079124A">
      <w:footerReference w:type="default" r:id="rId16"/>
      <w:pgSz w:w="11910"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CE02" w14:textId="77777777" w:rsidR="00780766" w:rsidRDefault="00780766">
      <w:r>
        <w:separator/>
      </w:r>
    </w:p>
  </w:endnote>
  <w:endnote w:type="continuationSeparator" w:id="0">
    <w:p w14:paraId="7D5CC89F" w14:textId="77777777" w:rsidR="00780766" w:rsidRDefault="00780766">
      <w:r>
        <w:continuationSeparator/>
      </w:r>
    </w:p>
  </w:endnote>
  <w:endnote w:type="continuationNotice" w:id="1">
    <w:p w14:paraId="16680D68" w14:textId="77777777" w:rsidR="00780766" w:rsidRDefault="00780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47F0" w14:textId="77777777" w:rsidR="00AE7B75" w:rsidRPr="007916A0" w:rsidRDefault="00AE7B75" w:rsidP="001278B6">
    <w:pPr>
      <w:pStyle w:val="a6"/>
      <w:jc w:val="center"/>
    </w:pP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53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0284" w14:textId="77777777" w:rsidR="00780766" w:rsidRDefault="00780766">
      <w:r>
        <w:separator/>
      </w:r>
    </w:p>
  </w:footnote>
  <w:footnote w:type="continuationSeparator" w:id="0">
    <w:p w14:paraId="0F4ED317" w14:textId="77777777" w:rsidR="00780766" w:rsidRDefault="00780766">
      <w:r>
        <w:continuationSeparator/>
      </w:r>
    </w:p>
  </w:footnote>
  <w:footnote w:type="continuationNotice" w:id="1">
    <w:p w14:paraId="7B88BE26" w14:textId="77777777" w:rsidR="00780766" w:rsidRDefault="00780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36D"/>
    <w:multiLevelType w:val="hybridMultilevel"/>
    <w:tmpl w:val="C87A9CAE"/>
    <w:lvl w:ilvl="0" w:tplc="3F446170">
      <w:numFmt w:val="bullet"/>
      <w:pStyle w:val="Bullet1"/>
      <w:lvlText w:val="●"/>
      <w:lvlJc w:val="left"/>
      <w:pPr>
        <w:ind w:left="784" w:hanging="567"/>
      </w:pPr>
      <w:rPr>
        <w:rFonts w:ascii="Times New Roman" w:eastAsia="Times New Roman" w:hAnsi="Times New Roman" w:cs="Times New Roman" w:hint="default"/>
        <w:b w:val="0"/>
        <w:bCs w:val="0"/>
        <w:i w:val="0"/>
        <w:iCs w:val="0"/>
        <w:w w:val="100"/>
        <w:sz w:val="18"/>
        <w:szCs w:val="18"/>
        <w:lang w:val="en-US" w:eastAsia="en-US" w:bidi="ar-SA"/>
      </w:rPr>
    </w:lvl>
    <w:lvl w:ilvl="1" w:tplc="D7CAEB44">
      <w:numFmt w:val="bullet"/>
      <w:lvlText w:val="•"/>
      <w:lvlJc w:val="left"/>
      <w:pPr>
        <w:ind w:left="1656" w:hanging="567"/>
      </w:pPr>
      <w:rPr>
        <w:rFonts w:hint="default"/>
        <w:lang w:val="en-US" w:eastAsia="en-US" w:bidi="ar-SA"/>
      </w:rPr>
    </w:lvl>
    <w:lvl w:ilvl="2" w:tplc="14206096">
      <w:numFmt w:val="bullet"/>
      <w:lvlText w:val="•"/>
      <w:lvlJc w:val="left"/>
      <w:pPr>
        <w:ind w:left="2532" w:hanging="567"/>
      </w:pPr>
      <w:rPr>
        <w:rFonts w:hint="default"/>
        <w:lang w:val="en-US" w:eastAsia="en-US" w:bidi="ar-SA"/>
      </w:rPr>
    </w:lvl>
    <w:lvl w:ilvl="3" w:tplc="AFBAF0D2">
      <w:numFmt w:val="bullet"/>
      <w:lvlText w:val="•"/>
      <w:lvlJc w:val="left"/>
      <w:pPr>
        <w:ind w:left="3408" w:hanging="567"/>
      </w:pPr>
      <w:rPr>
        <w:rFonts w:hint="default"/>
        <w:lang w:val="en-US" w:eastAsia="en-US" w:bidi="ar-SA"/>
      </w:rPr>
    </w:lvl>
    <w:lvl w:ilvl="4" w:tplc="53429A9C">
      <w:numFmt w:val="bullet"/>
      <w:lvlText w:val="•"/>
      <w:lvlJc w:val="left"/>
      <w:pPr>
        <w:ind w:left="4284" w:hanging="567"/>
      </w:pPr>
      <w:rPr>
        <w:rFonts w:hint="default"/>
        <w:lang w:val="en-US" w:eastAsia="en-US" w:bidi="ar-SA"/>
      </w:rPr>
    </w:lvl>
    <w:lvl w:ilvl="5" w:tplc="C6E6D9B6">
      <w:numFmt w:val="bullet"/>
      <w:lvlText w:val="•"/>
      <w:lvlJc w:val="left"/>
      <w:pPr>
        <w:ind w:left="5160" w:hanging="567"/>
      </w:pPr>
      <w:rPr>
        <w:rFonts w:hint="default"/>
        <w:lang w:val="en-US" w:eastAsia="en-US" w:bidi="ar-SA"/>
      </w:rPr>
    </w:lvl>
    <w:lvl w:ilvl="6" w:tplc="AF5A9F20">
      <w:numFmt w:val="bullet"/>
      <w:lvlText w:val="•"/>
      <w:lvlJc w:val="left"/>
      <w:pPr>
        <w:ind w:left="6036" w:hanging="567"/>
      </w:pPr>
      <w:rPr>
        <w:rFonts w:hint="default"/>
        <w:lang w:val="en-US" w:eastAsia="en-US" w:bidi="ar-SA"/>
      </w:rPr>
    </w:lvl>
    <w:lvl w:ilvl="7" w:tplc="0E6E0EFA">
      <w:numFmt w:val="bullet"/>
      <w:lvlText w:val="•"/>
      <w:lvlJc w:val="left"/>
      <w:pPr>
        <w:ind w:left="6913" w:hanging="567"/>
      </w:pPr>
      <w:rPr>
        <w:rFonts w:hint="default"/>
        <w:lang w:val="en-US" w:eastAsia="en-US" w:bidi="ar-SA"/>
      </w:rPr>
    </w:lvl>
    <w:lvl w:ilvl="8" w:tplc="F12831E2">
      <w:numFmt w:val="bullet"/>
      <w:lvlText w:val="•"/>
      <w:lvlJc w:val="left"/>
      <w:pPr>
        <w:ind w:left="7789" w:hanging="567"/>
      </w:pPr>
      <w:rPr>
        <w:rFonts w:hint="default"/>
        <w:lang w:val="en-US" w:eastAsia="en-US" w:bidi="ar-SA"/>
      </w:rPr>
    </w:lvl>
  </w:abstractNum>
  <w:abstractNum w:abstractNumId="1" w15:restartNumberingAfterBreak="0">
    <w:nsid w:val="022610A8"/>
    <w:multiLevelType w:val="hybridMultilevel"/>
    <w:tmpl w:val="3F7CD430"/>
    <w:lvl w:ilvl="0" w:tplc="E2125EB6">
      <w:start w:val="1"/>
      <w:numFmt w:val="upperLetter"/>
      <w:lvlText w:val="%1."/>
      <w:lvlJc w:val="left"/>
      <w:pPr>
        <w:ind w:left="1919" w:hanging="569"/>
      </w:pPr>
      <w:rPr>
        <w:rFonts w:ascii="Times New Roman" w:eastAsia="Times New Roman" w:hAnsi="Times New Roman" w:cs="Times New Roman" w:hint="default"/>
        <w:b/>
        <w:bCs/>
        <w:i w:val="0"/>
        <w:iCs w:val="0"/>
        <w:spacing w:val="-2"/>
        <w:w w:val="100"/>
        <w:sz w:val="22"/>
        <w:szCs w:val="22"/>
        <w:lang w:val="en-US" w:eastAsia="en-US" w:bidi="ar-SA"/>
      </w:rPr>
    </w:lvl>
    <w:lvl w:ilvl="1" w:tplc="EE365748">
      <w:numFmt w:val="bullet"/>
      <w:lvlText w:val="•"/>
      <w:lvlJc w:val="left"/>
      <w:pPr>
        <w:ind w:left="2682" w:hanging="569"/>
      </w:pPr>
      <w:rPr>
        <w:rFonts w:hint="default"/>
        <w:lang w:val="en-US" w:eastAsia="en-US" w:bidi="ar-SA"/>
      </w:rPr>
    </w:lvl>
    <w:lvl w:ilvl="2" w:tplc="C470B628">
      <w:numFmt w:val="bullet"/>
      <w:lvlText w:val="•"/>
      <w:lvlJc w:val="left"/>
      <w:pPr>
        <w:ind w:left="3444" w:hanging="569"/>
      </w:pPr>
      <w:rPr>
        <w:rFonts w:hint="default"/>
        <w:lang w:val="en-US" w:eastAsia="en-US" w:bidi="ar-SA"/>
      </w:rPr>
    </w:lvl>
    <w:lvl w:ilvl="3" w:tplc="C0D0A016">
      <w:numFmt w:val="bullet"/>
      <w:lvlText w:val="•"/>
      <w:lvlJc w:val="left"/>
      <w:pPr>
        <w:ind w:left="4206" w:hanging="569"/>
      </w:pPr>
      <w:rPr>
        <w:rFonts w:hint="default"/>
        <w:lang w:val="en-US" w:eastAsia="en-US" w:bidi="ar-SA"/>
      </w:rPr>
    </w:lvl>
    <w:lvl w:ilvl="4" w:tplc="065C3B08">
      <w:numFmt w:val="bullet"/>
      <w:lvlText w:val="•"/>
      <w:lvlJc w:val="left"/>
      <w:pPr>
        <w:ind w:left="4968" w:hanging="569"/>
      </w:pPr>
      <w:rPr>
        <w:rFonts w:hint="default"/>
        <w:lang w:val="en-US" w:eastAsia="en-US" w:bidi="ar-SA"/>
      </w:rPr>
    </w:lvl>
    <w:lvl w:ilvl="5" w:tplc="1BE8ED04">
      <w:numFmt w:val="bullet"/>
      <w:lvlText w:val="•"/>
      <w:lvlJc w:val="left"/>
      <w:pPr>
        <w:ind w:left="5730" w:hanging="569"/>
      </w:pPr>
      <w:rPr>
        <w:rFonts w:hint="default"/>
        <w:lang w:val="en-US" w:eastAsia="en-US" w:bidi="ar-SA"/>
      </w:rPr>
    </w:lvl>
    <w:lvl w:ilvl="6" w:tplc="3740F4AE">
      <w:numFmt w:val="bullet"/>
      <w:lvlText w:val="•"/>
      <w:lvlJc w:val="left"/>
      <w:pPr>
        <w:ind w:left="6492" w:hanging="569"/>
      </w:pPr>
      <w:rPr>
        <w:rFonts w:hint="default"/>
        <w:lang w:val="en-US" w:eastAsia="en-US" w:bidi="ar-SA"/>
      </w:rPr>
    </w:lvl>
    <w:lvl w:ilvl="7" w:tplc="504E2396">
      <w:numFmt w:val="bullet"/>
      <w:lvlText w:val="•"/>
      <w:lvlJc w:val="left"/>
      <w:pPr>
        <w:ind w:left="7255" w:hanging="569"/>
      </w:pPr>
      <w:rPr>
        <w:rFonts w:hint="default"/>
        <w:lang w:val="en-US" w:eastAsia="en-US" w:bidi="ar-SA"/>
      </w:rPr>
    </w:lvl>
    <w:lvl w:ilvl="8" w:tplc="9864B63C">
      <w:numFmt w:val="bullet"/>
      <w:lvlText w:val="•"/>
      <w:lvlJc w:val="left"/>
      <w:pPr>
        <w:ind w:left="8017" w:hanging="569"/>
      </w:pPr>
      <w:rPr>
        <w:rFonts w:hint="default"/>
        <w:lang w:val="en-US" w:eastAsia="en-US" w:bidi="ar-SA"/>
      </w:rPr>
    </w:lvl>
  </w:abstractNum>
  <w:abstractNum w:abstractNumId="2" w15:restartNumberingAfterBreak="0">
    <w:nsid w:val="03E476AD"/>
    <w:multiLevelType w:val="hybridMultilevel"/>
    <w:tmpl w:val="5400116E"/>
    <w:lvl w:ilvl="0" w:tplc="E57AFF6C">
      <w:numFmt w:val="bullet"/>
      <w:lvlText w:val=""/>
      <w:lvlJc w:val="left"/>
      <w:pPr>
        <w:ind w:left="758" w:hanging="178"/>
      </w:pPr>
      <w:rPr>
        <w:rFonts w:ascii="Symbol" w:eastAsia="Symbol" w:hAnsi="Symbol" w:cs="Symbol" w:hint="default"/>
        <w:b w:val="0"/>
        <w:bCs w:val="0"/>
        <w:i w:val="0"/>
        <w:iCs w:val="0"/>
        <w:w w:val="100"/>
        <w:sz w:val="22"/>
        <w:szCs w:val="22"/>
        <w:lang w:val="en-US" w:eastAsia="en-US" w:bidi="ar-SA"/>
      </w:rPr>
    </w:lvl>
    <w:lvl w:ilvl="1" w:tplc="6040F5B8">
      <w:numFmt w:val="bullet"/>
      <w:lvlText w:val="•"/>
      <w:lvlJc w:val="left"/>
      <w:pPr>
        <w:ind w:left="891" w:hanging="178"/>
      </w:pPr>
      <w:rPr>
        <w:rFonts w:hint="default"/>
        <w:lang w:val="en-US" w:eastAsia="en-US" w:bidi="ar-SA"/>
      </w:rPr>
    </w:lvl>
    <w:lvl w:ilvl="2" w:tplc="3244D3A8">
      <w:numFmt w:val="bullet"/>
      <w:lvlText w:val="•"/>
      <w:lvlJc w:val="left"/>
      <w:pPr>
        <w:ind w:left="1022" w:hanging="178"/>
      </w:pPr>
      <w:rPr>
        <w:rFonts w:hint="default"/>
        <w:lang w:val="en-US" w:eastAsia="en-US" w:bidi="ar-SA"/>
      </w:rPr>
    </w:lvl>
    <w:lvl w:ilvl="3" w:tplc="58505274">
      <w:numFmt w:val="bullet"/>
      <w:lvlText w:val="•"/>
      <w:lvlJc w:val="left"/>
      <w:pPr>
        <w:ind w:left="1153" w:hanging="178"/>
      </w:pPr>
      <w:rPr>
        <w:rFonts w:hint="default"/>
        <w:lang w:val="en-US" w:eastAsia="en-US" w:bidi="ar-SA"/>
      </w:rPr>
    </w:lvl>
    <w:lvl w:ilvl="4" w:tplc="C76AB4A6">
      <w:numFmt w:val="bullet"/>
      <w:lvlText w:val="•"/>
      <w:lvlJc w:val="left"/>
      <w:pPr>
        <w:ind w:left="1284" w:hanging="178"/>
      </w:pPr>
      <w:rPr>
        <w:rFonts w:hint="default"/>
        <w:lang w:val="en-US" w:eastAsia="en-US" w:bidi="ar-SA"/>
      </w:rPr>
    </w:lvl>
    <w:lvl w:ilvl="5" w:tplc="EF6CBD22">
      <w:numFmt w:val="bullet"/>
      <w:lvlText w:val="•"/>
      <w:lvlJc w:val="left"/>
      <w:pPr>
        <w:ind w:left="1415" w:hanging="178"/>
      </w:pPr>
      <w:rPr>
        <w:rFonts w:hint="default"/>
        <w:lang w:val="en-US" w:eastAsia="en-US" w:bidi="ar-SA"/>
      </w:rPr>
    </w:lvl>
    <w:lvl w:ilvl="6" w:tplc="34424CDA">
      <w:numFmt w:val="bullet"/>
      <w:lvlText w:val="•"/>
      <w:lvlJc w:val="left"/>
      <w:pPr>
        <w:ind w:left="1546" w:hanging="178"/>
      </w:pPr>
      <w:rPr>
        <w:rFonts w:hint="default"/>
        <w:lang w:val="en-US" w:eastAsia="en-US" w:bidi="ar-SA"/>
      </w:rPr>
    </w:lvl>
    <w:lvl w:ilvl="7" w:tplc="D6FC3EA0">
      <w:numFmt w:val="bullet"/>
      <w:lvlText w:val="•"/>
      <w:lvlJc w:val="left"/>
      <w:pPr>
        <w:ind w:left="1677" w:hanging="178"/>
      </w:pPr>
      <w:rPr>
        <w:rFonts w:hint="default"/>
        <w:lang w:val="en-US" w:eastAsia="en-US" w:bidi="ar-SA"/>
      </w:rPr>
    </w:lvl>
    <w:lvl w:ilvl="8" w:tplc="E81ADDEE">
      <w:numFmt w:val="bullet"/>
      <w:lvlText w:val="•"/>
      <w:lvlJc w:val="left"/>
      <w:pPr>
        <w:ind w:left="1808" w:hanging="178"/>
      </w:pPr>
      <w:rPr>
        <w:rFonts w:hint="default"/>
        <w:lang w:val="en-US" w:eastAsia="en-US" w:bidi="ar-SA"/>
      </w:rPr>
    </w:lvl>
  </w:abstractNum>
  <w:abstractNum w:abstractNumId="3" w15:restartNumberingAfterBreak="0">
    <w:nsid w:val="06D71C28"/>
    <w:multiLevelType w:val="hybridMultilevel"/>
    <w:tmpl w:val="75909F9E"/>
    <w:lvl w:ilvl="0" w:tplc="C98C90DA">
      <w:start w:val="6"/>
      <w:numFmt w:val="decimal"/>
      <w:lvlText w:val="%1."/>
      <w:lvlJc w:val="left"/>
      <w:pPr>
        <w:ind w:left="577" w:hanging="360"/>
      </w:pPr>
      <w:rPr>
        <w:rFonts w:hint="default"/>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4" w15:restartNumberingAfterBreak="0">
    <w:nsid w:val="0B882347"/>
    <w:multiLevelType w:val="hybridMultilevel"/>
    <w:tmpl w:val="2F2E74A4"/>
    <w:lvl w:ilvl="0" w:tplc="243A4AFC">
      <w:start w:val="1"/>
      <w:numFmt w:val="bullet"/>
      <w:lvlText w:val="●"/>
      <w:lvlJc w:val="left"/>
      <w:pPr>
        <w:ind w:left="400" w:hanging="400"/>
      </w:pPr>
      <w:rPr>
        <w:rFonts w:ascii="Times New Roman" w:eastAsia="Times New Roman" w:hAnsi="Times New Roman" w:hint="default"/>
        <w:b/>
        <w:bCs/>
        <w:sz w:val="20"/>
        <w:szCs w:val="2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D052069"/>
    <w:multiLevelType w:val="hybridMultilevel"/>
    <w:tmpl w:val="47002D1A"/>
    <w:lvl w:ilvl="0" w:tplc="A530D25C">
      <w:numFmt w:val="bullet"/>
      <w:lvlText w:val=""/>
      <w:lvlJc w:val="left"/>
      <w:pPr>
        <w:ind w:left="784" w:hanging="207"/>
      </w:pPr>
      <w:rPr>
        <w:rFonts w:ascii="Symbol" w:eastAsia="Symbol" w:hAnsi="Symbol" w:cs="Symbol" w:hint="default"/>
        <w:b w:val="0"/>
        <w:bCs w:val="0"/>
        <w:i w:val="0"/>
        <w:iCs w:val="0"/>
        <w:w w:val="100"/>
        <w:sz w:val="22"/>
        <w:szCs w:val="22"/>
        <w:lang w:val="en-US" w:eastAsia="en-US" w:bidi="ar-SA"/>
      </w:rPr>
    </w:lvl>
    <w:lvl w:ilvl="1" w:tplc="88DAB242">
      <w:numFmt w:val="bullet"/>
      <w:lvlText w:val="•"/>
      <w:lvlJc w:val="left"/>
      <w:pPr>
        <w:ind w:left="1656" w:hanging="207"/>
      </w:pPr>
      <w:rPr>
        <w:rFonts w:hint="default"/>
        <w:lang w:val="en-US" w:eastAsia="en-US" w:bidi="ar-SA"/>
      </w:rPr>
    </w:lvl>
    <w:lvl w:ilvl="2" w:tplc="1736C526">
      <w:numFmt w:val="bullet"/>
      <w:lvlText w:val="•"/>
      <w:lvlJc w:val="left"/>
      <w:pPr>
        <w:ind w:left="2532" w:hanging="207"/>
      </w:pPr>
      <w:rPr>
        <w:rFonts w:hint="default"/>
        <w:lang w:val="en-US" w:eastAsia="en-US" w:bidi="ar-SA"/>
      </w:rPr>
    </w:lvl>
    <w:lvl w:ilvl="3" w:tplc="D1AC2A56">
      <w:numFmt w:val="bullet"/>
      <w:lvlText w:val="•"/>
      <w:lvlJc w:val="left"/>
      <w:pPr>
        <w:ind w:left="3408" w:hanging="207"/>
      </w:pPr>
      <w:rPr>
        <w:rFonts w:hint="default"/>
        <w:lang w:val="en-US" w:eastAsia="en-US" w:bidi="ar-SA"/>
      </w:rPr>
    </w:lvl>
    <w:lvl w:ilvl="4" w:tplc="8D022134">
      <w:numFmt w:val="bullet"/>
      <w:lvlText w:val="•"/>
      <w:lvlJc w:val="left"/>
      <w:pPr>
        <w:ind w:left="4284" w:hanging="207"/>
      </w:pPr>
      <w:rPr>
        <w:rFonts w:hint="default"/>
        <w:lang w:val="en-US" w:eastAsia="en-US" w:bidi="ar-SA"/>
      </w:rPr>
    </w:lvl>
    <w:lvl w:ilvl="5" w:tplc="0BD0803E">
      <w:numFmt w:val="bullet"/>
      <w:lvlText w:val="•"/>
      <w:lvlJc w:val="left"/>
      <w:pPr>
        <w:ind w:left="5160" w:hanging="207"/>
      </w:pPr>
      <w:rPr>
        <w:rFonts w:hint="default"/>
        <w:lang w:val="en-US" w:eastAsia="en-US" w:bidi="ar-SA"/>
      </w:rPr>
    </w:lvl>
    <w:lvl w:ilvl="6" w:tplc="6978AF64">
      <w:numFmt w:val="bullet"/>
      <w:lvlText w:val="•"/>
      <w:lvlJc w:val="left"/>
      <w:pPr>
        <w:ind w:left="6036" w:hanging="207"/>
      </w:pPr>
      <w:rPr>
        <w:rFonts w:hint="default"/>
        <w:lang w:val="en-US" w:eastAsia="en-US" w:bidi="ar-SA"/>
      </w:rPr>
    </w:lvl>
    <w:lvl w:ilvl="7" w:tplc="2620E9A2">
      <w:numFmt w:val="bullet"/>
      <w:lvlText w:val="•"/>
      <w:lvlJc w:val="left"/>
      <w:pPr>
        <w:ind w:left="6913" w:hanging="207"/>
      </w:pPr>
      <w:rPr>
        <w:rFonts w:hint="default"/>
        <w:lang w:val="en-US" w:eastAsia="en-US" w:bidi="ar-SA"/>
      </w:rPr>
    </w:lvl>
    <w:lvl w:ilvl="8" w:tplc="9F74BC38">
      <w:numFmt w:val="bullet"/>
      <w:lvlText w:val="•"/>
      <w:lvlJc w:val="left"/>
      <w:pPr>
        <w:ind w:left="7789" w:hanging="207"/>
      </w:pPr>
      <w:rPr>
        <w:rFonts w:hint="default"/>
        <w:lang w:val="en-US" w:eastAsia="en-US" w:bidi="ar-SA"/>
      </w:rPr>
    </w:lvl>
  </w:abstractNum>
  <w:abstractNum w:abstractNumId="6" w15:restartNumberingAfterBreak="0">
    <w:nsid w:val="14B93691"/>
    <w:multiLevelType w:val="hybridMultilevel"/>
    <w:tmpl w:val="15300F2A"/>
    <w:lvl w:ilvl="0" w:tplc="2354900E">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141E082E">
      <w:numFmt w:val="bullet"/>
      <w:lvlText w:val="•"/>
      <w:lvlJc w:val="left"/>
      <w:pPr>
        <w:ind w:left="1656" w:hanging="567"/>
      </w:pPr>
      <w:rPr>
        <w:rFonts w:hint="default"/>
        <w:lang w:val="en-US" w:eastAsia="en-US" w:bidi="ar-SA"/>
      </w:rPr>
    </w:lvl>
    <w:lvl w:ilvl="2" w:tplc="49BAF38E">
      <w:numFmt w:val="bullet"/>
      <w:lvlText w:val="•"/>
      <w:lvlJc w:val="left"/>
      <w:pPr>
        <w:ind w:left="2532" w:hanging="567"/>
      </w:pPr>
      <w:rPr>
        <w:rFonts w:hint="default"/>
        <w:lang w:val="en-US" w:eastAsia="en-US" w:bidi="ar-SA"/>
      </w:rPr>
    </w:lvl>
    <w:lvl w:ilvl="3" w:tplc="1B4A4390">
      <w:numFmt w:val="bullet"/>
      <w:lvlText w:val="•"/>
      <w:lvlJc w:val="left"/>
      <w:pPr>
        <w:ind w:left="3408" w:hanging="567"/>
      </w:pPr>
      <w:rPr>
        <w:rFonts w:hint="default"/>
        <w:lang w:val="en-US" w:eastAsia="en-US" w:bidi="ar-SA"/>
      </w:rPr>
    </w:lvl>
    <w:lvl w:ilvl="4" w:tplc="7CB46EA8">
      <w:numFmt w:val="bullet"/>
      <w:lvlText w:val="•"/>
      <w:lvlJc w:val="left"/>
      <w:pPr>
        <w:ind w:left="4284" w:hanging="567"/>
      </w:pPr>
      <w:rPr>
        <w:rFonts w:hint="default"/>
        <w:lang w:val="en-US" w:eastAsia="en-US" w:bidi="ar-SA"/>
      </w:rPr>
    </w:lvl>
    <w:lvl w:ilvl="5" w:tplc="98EC360C">
      <w:numFmt w:val="bullet"/>
      <w:lvlText w:val="•"/>
      <w:lvlJc w:val="left"/>
      <w:pPr>
        <w:ind w:left="5160" w:hanging="567"/>
      </w:pPr>
      <w:rPr>
        <w:rFonts w:hint="default"/>
        <w:lang w:val="en-US" w:eastAsia="en-US" w:bidi="ar-SA"/>
      </w:rPr>
    </w:lvl>
    <w:lvl w:ilvl="6" w:tplc="E16A5B80">
      <w:numFmt w:val="bullet"/>
      <w:lvlText w:val="•"/>
      <w:lvlJc w:val="left"/>
      <w:pPr>
        <w:ind w:left="6036" w:hanging="567"/>
      </w:pPr>
      <w:rPr>
        <w:rFonts w:hint="default"/>
        <w:lang w:val="en-US" w:eastAsia="en-US" w:bidi="ar-SA"/>
      </w:rPr>
    </w:lvl>
    <w:lvl w:ilvl="7" w:tplc="B1081F60">
      <w:numFmt w:val="bullet"/>
      <w:lvlText w:val="•"/>
      <w:lvlJc w:val="left"/>
      <w:pPr>
        <w:ind w:left="6913" w:hanging="567"/>
      </w:pPr>
      <w:rPr>
        <w:rFonts w:hint="default"/>
        <w:lang w:val="en-US" w:eastAsia="en-US" w:bidi="ar-SA"/>
      </w:rPr>
    </w:lvl>
    <w:lvl w:ilvl="8" w:tplc="01AC8AC2">
      <w:numFmt w:val="bullet"/>
      <w:lvlText w:val="•"/>
      <w:lvlJc w:val="left"/>
      <w:pPr>
        <w:ind w:left="7789" w:hanging="567"/>
      </w:pPr>
      <w:rPr>
        <w:rFonts w:hint="default"/>
        <w:lang w:val="en-US" w:eastAsia="en-US" w:bidi="ar-SA"/>
      </w:rPr>
    </w:lvl>
  </w:abstractNum>
  <w:abstractNum w:abstractNumId="7" w15:restartNumberingAfterBreak="0">
    <w:nsid w:val="17D277D9"/>
    <w:multiLevelType w:val="multilevel"/>
    <w:tmpl w:val="1138CFB8"/>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32" w:hanging="567"/>
      </w:pPr>
      <w:rPr>
        <w:rFonts w:hint="default"/>
        <w:lang w:val="en-US" w:eastAsia="en-US" w:bidi="ar-SA"/>
      </w:rPr>
    </w:lvl>
    <w:lvl w:ilvl="3">
      <w:numFmt w:val="bullet"/>
      <w:lvlText w:val="•"/>
      <w:lvlJc w:val="left"/>
      <w:pPr>
        <w:ind w:left="3408" w:hanging="567"/>
      </w:pPr>
      <w:rPr>
        <w:rFonts w:hint="default"/>
        <w:lang w:val="en-US" w:eastAsia="en-US" w:bidi="ar-SA"/>
      </w:rPr>
    </w:lvl>
    <w:lvl w:ilvl="4">
      <w:numFmt w:val="bullet"/>
      <w:lvlText w:val="•"/>
      <w:lvlJc w:val="left"/>
      <w:pPr>
        <w:ind w:left="4284" w:hanging="567"/>
      </w:pPr>
      <w:rPr>
        <w:rFonts w:hint="default"/>
        <w:lang w:val="en-US" w:eastAsia="en-US" w:bidi="ar-SA"/>
      </w:rPr>
    </w:lvl>
    <w:lvl w:ilvl="5">
      <w:numFmt w:val="bullet"/>
      <w:lvlText w:val="•"/>
      <w:lvlJc w:val="left"/>
      <w:pPr>
        <w:ind w:left="5160" w:hanging="567"/>
      </w:pPr>
      <w:rPr>
        <w:rFonts w:hint="default"/>
        <w:lang w:val="en-US" w:eastAsia="en-US" w:bidi="ar-SA"/>
      </w:rPr>
    </w:lvl>
    <w:lvl w:ilvl="6">
      <w:numFmt w:val="bullet"/>
      <w:lvlText w:val="•"/>
      <w:lvlJc w:val="left"/>
      <w:pPr>
        <w:ind w:left="6036" w:hanging="567"/>
      </w:pPr>
      <w:rPr>
        <w:rFonts w:hint="default"/>
        <w:lang w:val="en-US" w:eastAsia="en-US" w:bidi="ar-SA"/>
      </w:rPr>
    </w:lvl>
    <w:lvl w:ilvl="7">
      <w:numFmt w:val="bullet"/>
      <w:lvlText w:val="•"/>
      <w:lvlJc w:val="left"/>
      <w:pPr>
        <w:ind w:left="6913" w:hanging="567"/>
      </w:pPr>
      <w:rPr>
        <w:rFonts w:hint="default"/>
        <w:lang w:val="en-US" w:eastAsia="en-US" w:bidi="ar-SA"/>
      </w:rPr>
    </w:lvl>
    <w:lvl w:ilvl="8">
      <w:numFmt w:val="bullet"/>
      <w:lvlText w:val="•"/>
      <w:lvlJc w:val="left"/>
      <w:pPr>
        <w:ind w:left="7789" w:hanging="567"/>
      </w:pPr>
      <w:rPr>
        <w:rFonts w:hint="default"/>
        <w:lang w:val="en-US" w:eastAsia="en-US" w:bidi="ar-SA"/>
      </w:rPr>
    </w:lvl>
  </w:abstractNum>
  <w:abstractNum w:abstractNumId="8" w15:restartNumberingAfterBreak="0">
    <w:nsid w:val="1B390937"/>
    <w:multiLevelType w:val="hybridMultilevel"/>
    <w:tmpl w:val="6C0A2AF8"/>
    <w:lvl w:ilvl="0" w:tplc="E466C4D4">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tplc="A9943276">
      <w:numFmt w:val="bullet"/>
      <w:lvlText w:val="•"/>
      <w:lvlJc w:val="left"/>
      <w:pPr>
        <w:ind w:left="1656" w:hanging="567"/>
      </w:pPr>
      <w:rPr>
        <w:rFonts w:hint="default"/>
        <w:lang w:val="en-US" w:eastAsia="en-US" w:bidi="ar-SA"/>
      </w:rPr>
    </w:lvl>
    <w:lvl w:ilvl="2" w:tplc="36282376">
      <w:numFmt w:val="bullet"/>
      <w:lvlText w:val="•"/>
      <w:lvlJc w:val="left"/>
      <w:pPr>
        <w:ind w:left="2532" w:hanging="567"/>
      </w:pPr>
      <w:rPr>
        <w:rFonts w:hint="default"/>
        <w:lang w:val="en-US" w:eastAsia="en-US" w:bidi="ar-SA"/>
      </w:rPr>
    </w:lvl>
    <w:lvl w:ilvl="3" w:tplc="AB788996">
      <w:numFmt w:val="bullet"/>
      <w:lvlText w:val="•"/>
      <w:lvlJc w:val="left"/>
      <w:pPr>
        <w:ind w:left="3408" w:hanging="567"/>
      </w:pPr>
      <w:rPr>
        <w:rFonts w:hint="default"/>
        <w:lang w:val="en-US" w:eastAsia="en-US" w:bidi="ar-SA"/>
      </w:rPr>
    </w:lvl>
    <w:lvl w:ilvl="4" w:tplc="ABEE5176">
      <w:numFmt w:val="bullet"/>
      <w:lvlText w:val="•"/>
      <w:lvlJc w:val="left"/>
      <w:pPr>
        <w:ind w:left="4284" w:hanging="567"/>
      </w:pPr>
      <w:rPr>
        <w:rFonts w:hint="default"/>
        <w:lang w:val="en-US" w:eastAsia="en-US" w:bidi="ar-SA"/>
      </w:rPr>
    </w:lvl>
    <w:lvl w:ilvl="5" w:tplc="9C9CB1FE">
      <w:numFmt w:val="bullet"/>
      <w:lvlText w:val="•"/>
      <w:lvlJc w:val="left"/>
      <w:pPr>
        <w:ind w:left="5160" w:hanging="567"/>
      </w:pPr>
      <w:rPr>
        <w:rFonts w:hint="default"/>
        <w:lang w:val="en-US" w:eastAsia="en-US" w:bidi="ar-SA"/>
      </w:rPr>
    </w:lvl>
    <w:lvl w:ilvl="6" w:tplc="EF8EA882">
      <w:numFmt w:val="bullet"/>
      <w:lvlText w:val="•"/>
      <w:lvlJc w:val="left"/>
      <w:pPr>
        <w:ind w:left="6036" w:hanging="567"/>
      </w:pPr>
      <w:rPr>
        <w:rFonts w:hint="default"/>
        <w:lang w:val="en-US" w:eastAsia="en-US" w:bidi="ar-SA"/>
      </w:rPr>
    </w:lvl>
    <w:lvl w:ilvl="7" w:tplc="357E81AE">
      <w:numFmt w:val="bullet"/>
      <w:lvlText w:val="•"/>
      <w:lvlJc w:val="left"/>
      <w:pPr>
        <w:ind w:left="6913" w:hanging="567"/>
      </w:pPr>
      <w:rPr>
        <w:rFonts w:hint="default"/>
        <w:lang w:val="en-US" w:eastAsia="en-US" w:bidi="ar-SA"/>
      </w:rPr>
    </w:lvl>
    <w:lvl w:ilvl="8" w:tplc="6F4AFDC6">
      <w:numFmt w:val="bullet"/>
      <w:lvlText w:val="•"/>
      <w:lvlJc w:val="left"/>
      <w:pPr>
        <w:ind w:left="7789" w:hanging="567"/>
      </w:pPr>
      <w:rPr>
        <w:rFonts w:hint="default"/>
        <w:lang w:val="en-US" w:eastAsia="en-US" w:bidi="ar-SA"/>
      </w:rPr>
    </w:lvl>
  </w:abstractNum>
  <w:abstractNum w:abstractNumId="9" w15:restartNumberingAfterBreak="0">
    <w:nsid w:val="1BF94ADC"/>
    <w:multiLevelType w:val="hybridMultilevel"/>
    <w:tmpl w:val="59FEC78C"/>
    <w:lvl w:ilvl="0" w:tplc="F082519A">
      <w:numFmt w:val="bullet"/>
      <w:lvlText w:val=""/>
      <w:lvlJc w:val="left"/>
      <w:pPr>
        <w:ind w:left="784" w:hanging="425"/>
      </w:pPr>
      <w:rPr>
        <w:rFonts w:ascii="Symbol" w:eastAsia="Symbol" w:hAnsi="Symbol" w:cs="Symbol" w:hint="default"/>
        <w:b w:val="0"/>
        <w:bCs w:val="0"/>
        <w:i w:val="0"/>
        <w:iCs w:val="0"/>
        <w:w w:val="100"/>
        <w:sz w:val="22"/>
        <w:szCs w:val="22"/>
        <w:lang w:val="en-US" w:eastAsia="en-US" w:bidi="ar-SA"/>
      </w:rPr>
    </w:lvl>
    <w:lvl w:ilvl="1" w:tplc="E250B594">
      <w:numFmt w:val="bullet"/>
      <w:lvlText w:val=""/>
      <w:lvlJc w:val="left"/>
      <w:pPr>
        <w:ind w:left="931" w:hanging="356"/>
      </w:pPr>
      <w:rPr>
        <w:rFonts w:ascii="Symbol" w:eastAsia="Symbol" w:hAnsi="Symbol" w:cs="Symbol" w:hint="default"/>
        <w:b w:val="0"/>
        <w:bCs w:val="0"/>
        <w:i w:val="0"/>
        <w:iCs w:val="0"/>
        <w:w w:val="100"/>
        <w:sz w:val="22"/>
        <w:szCs w:val="22"/>
        <w:lang w:val="en-US" w:eastAsia="en-US" w:bidi="ar-SA"/>
      </w:rPr>
    </w:lvl>
    <w:lvl w:ilvl="2" w:tplc="8112FE2A">
      <w:numFmt w:val="bullet"/>
      <w:lvlText w:val=""/>
      <w:lvlJc w:val="left"/>
      <w:pPr>
        <w:ind w:left="1651" w:hanging="356"/>
      </w:pPr>
      <w:rPr>
        <w:rFonts w:ascii="Symbol" w:eastAsia="Symbol" w:hAnsi="Symbol" w:cs="Symbol" w:hint="default"/>
        <w:b w:val="0"/>
        <w:bCs w:val="0"/>
        <w:i w:val="0"/>
        <w:iCs w:val="0"/>
        <w:w w:val="100"/>
        <w:sz w:val="22"/>
        <w:szCs w:val="22"/>
        <w:lang w:val="en-US" w:eastAsia="en-US" w:bidi="ar-SA"/>
      </w:rPr>
    </w:lvl>
    <w:lvl w:ilvl="3" w:tplc="1F2AF904">
      <w:numFmt w:val="bullet"/>
      <w:lvlText w:val="•"/>
      <w:lvlJc w:val="left"/>
      <w:pPr>
        <w:ind w:left="2645" w:hanging="356"/>
      </w:pPr>
      <w:rPr>
        <w:rFonts w:hint="default"/>
        <w:lang w:val="en-US" w:eastAsia="en-US" w:bidi="ar-SA"/>
      </w:rPr>
    </w:lvl>
    <w:lvl w:ilvl="4" w:tplc="C84829FE">
      <w:numFmt w:val="bullet"/>
      <w:lvlText w:val="•"/>
      <w:lvlJc w:val="left"/>
      <w:pPr>
        <w:ind w:left="3630" w:hanging="356"/>
      </w:pPr>
      <w:rPr>
        <w:rFonts w:hint="default"/>
        <w:lang w:val="en-US" w:eastAsia="en-US" w:bidi="ar-SA"/>
      </w:rPr>
    </w:lvl>
    <w:lvl w:ilvl="5" w:tplc="568476AC">
      <w:numFmt w:val="bullet"/>
      <w:lvlText w:val="•"/>
      <w:lvlJc w:val="left"/>
      <w:pPr>
        <w:ind w:left="4615" w:hanging="356"/>
      </w:pPr>
      <w:rPr>
        <w:rFonts w:hint="default"/>
        <w:lang w:val="en-US" w:eastAsia="en-US" w:bidi="ar-SA"/>
      </w:rPr>
    </w:lvl>
    <w:lvl w:ilvl="6" w:tplc="253CCE60">
      <w:numFmt w:val="bullet"/>
      <w:lvlText w:val="•"/>
      <w:lvlJc w:val="left"/>
      <w:pPr>
        <w:ind w:left="5600" w:hanging="356"/>
      </w:pPr>
      <w:rPr>
        <w:rFonts w:hint="default"/>
        <w:lang w:val="en-US" w:eastAsia="en-US" w:bidi="ar-SA"/>
      </w:rPr>
    </w:lvl>
    <w:lvl w:ilvl="7" w:tplc="C8B2C704">
      <w:numFmt w:val="bullet"/>
      <w:lvlText w:val="•"/>
      <w:lvlJc w:val="left"/>
      <w:pPr>
        <w:ind w:left="6586" w:hanging="356"/>
      </w:pPr>
      <w:rPr>
        <w:rFonts w:hint="default"/>
        <w:lang w:val="en-US" w:eastAsia="en-US" w:bidi="ar-SA"/>
      </w:rPr>
    </w:lvl>
    <w:lvl w:ilvl="8" w:tplc="6B46EC5E">
      <w:numFmt w:val="bullet"/>
      <w:lvlText w:val="•"/>
      <w:lvlJc w:val="left"/>
      <w:pPr>
        <w:ind w:left="7571" w:hanging="356"/>
      </w:pPr>
      <w:rPr>
        <w:rFonts w:hint="default"/>
        <w:lang w:val="en-US" w:eastAsia="en-US" w:bidi="ar-SA"/>
      </w:rPr>
    </w:lvl>
  </w:abstractNum>
  <w:abstractNum w:abstractNumId="10" w15:restartNumberingAfterBreak="0">
    <w:nsid w:val="25574377"/>
    <w:multiLevelType w:val="multilevel"/>
    <w:tmpl w:val="D84A1802"/>
    <w:lvl w:ilvl="0">
      <w:start w:val="1"/>
      <w:numFmt w:val="decimal"/>
      <w:lvlText w:val="%1"/>
      <w:lvlJc w:val="left"/>
      <w:pPr>
        <w:ind w:left="715" w:hanging="497"/>
      </w:pPr>
      <w:rPr>
        <w:rFonts w:hint="default"/>
        <w:lang w:val="en-US" w:eastAsia="en-US" w:bidi="ar-SA"/>
      </w:rPr>
    </w:lvl>
    <w:lvl w:ilvl="1">
      <w:start w:val="8"/>
      <w:numFmt w:val="decimal"/>
      <w:lvlText w:val="%1.%2"/>
      <w:lvlJc w:val="left"/>
      <w:pPr>
        <w:ind w:left="715" w:hanging="497"/>
      </w:pPr>
      <w:rPr>
        <w:rFonts w:hint="default"/>
        <w:lang w:val="en-US" w:eastAsia="en-US" w:bidi="ar-SA"/>
      </w:rPr>
    </w:lvl>
    <w:lvl w:ilvl="2">
      <w:start w:val="2"/>
      <w:numFmt w:val="decimal"/>
      <w:lvlText w:val="%1.%2.%3"/>
      <w:lvlJc w:val="left"/>
      <w:pPr>
        <w:ind w:left="715" w:hanging="497"/>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1015" w:hanging="514"/>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3860" w:hanging="514"/>
      </w:pPr>
      <w:rPr>
        <w:rFonts w:hint="default"/>
        <w:lang w:val="en-US" w:eastAsia="en-US" w:bidi="ar-SA"/>
      </w:rPr>
    </w:lvl>
    <w:lvl w:ilvl="5">
      <w:numFmt w:val="bullet"/>
      <w:lvlText w:val="•"/>
      <w:lvlJc w:val="left"/>
      <w:pPr>
        <w:ind w:left="4807" w:hanging="514"/>
      </w:pPr>
      <w:rPr>
        <w:rFonts w:hint="default"/>
        <w:lang w:val="en-US" w:eastAsia="en-US" w:bidi="ar-SA"/>
      </w:rPr>
    </w:lvl>
    <w:lvl w:ilvl="6">
      <w:numFmt w:val="bullet"/>
      <w:lvlText w:val="•"/>
      <w:lvlJc w:val="left"/>
      <w:pPr>
        <w:ind w:left="5754" w:hanging="514"/>
      </w:pPr>
      <w:rPr>
        <w:rFonts w:hint="default"/>
        <w:lang w:val="en-US" w:eastAsia="en-US" w:bidi="ar-SA"/>
      </w:rPr>
    </w:lvl>
    <w:lvl w:ilvl="7">
      <w:numFmt w:val="bullet"/>
      <w:lvlText w:val="•"/>
      <w:lvlJc w:val="left"/>
      <w:pPr>
        <w:ind w:left="6701" w:hanging="514"/>
      </w:pPr>
      <w:rPr>
        <w:rFonts w:hint="default"/>
        <w:lang w:val="en-US" w:eastAsia="en-US" w:bidi="ar-SA"/>
      </w:rPr>
    </w:lvl>
    <w:lvl w:ilvl="8">
      <w:numFmt w:val="bullet"/>
      <w:lvlText w:val="•"/>
      <w:lvlJc w:val="left"/>
      <w:pPr>
        <w:ind w:left="7647" w:hanging="514"/>
      </w:pPr>
      <w:rPr>
        <w:rFonts w:hint="default"/>
        <w:lang w:val="en-US" w:eastAsia="en-US" w:bidi="ar-SA"/>
      </w:rPr>
    </w:lvl>
  </w:abstractNum>
  <w:abstractNum w:abstractNumId="11" w15:restartNumberingAfterBreak="0">
    <w:nsid w:val="27DB369C"/>
    <w:multiLevelType w:val="hybridMultilevel"/>
    <w:tmpl w:val="55FC1ADC"/>
    <w:lvl w:ilvl="0" w:tplc="D3449468">
      <w:numFmt w:val="bullet"/>
      <w:lvlText w:val=""/>
      <w:lvlJc w:val="left"/>
      <w:pPr>
        <w:ind w:left="1070" w:hanging="569"/>
      </w:pPr>
      <w:rPr>
        <w:rFonts w:ascii="Symbol" w:eastAsia="Symbol" w:hAnsi="Symbol" w:cs="Symbol" w:hint="default"/>
        <w:b w:val="0"/>
        <w:bCs w:val="0"/>
        <w:i w:val="0"/>
        <w:iCs w:val="0"/>
        <w:w w:val="100"/>
        <w:sz w:val="22"/>
        <w:szCs w:val="22"/>
        <w:lang w:val="en-US" w:eastAsia="en-US" w:bidi="ar-SA"/>
      </w:rPr>
    </w:lvl>
    <w:lvl w:ilvl="1" w:tplc="C240AB92">
      <w:numFmt w:val="bullet"/>
      <w:lvlText w:val=""/>
      <w:lvlJc w:val="left"/>
      <w:pPr>
        <w:ind w:left="1919" w:hanging="490"/>
      </w:pPr>
      <w:rPr>
        <w:rFonts w:ascii="Symbol" w:eastAsia="Symbol" w:hAnsi="Symbol" w:cs="Symbol" w:hint="default"/>
        <w:b w:val="0"/>
        <w:bCs w:val="0"/>
        <w:i w:val="0"/>
        <w:iCs w:val="0"/>
        <w:w w:val="100"/>
        <w:sz w:val="22"/>
        <w:szCs w:val="22"/>
        <w:lang w:val="en-US" w:eastAsia="en-US" w:bidi="ar-SA"/>
      </w:rPr>
    </w:lvl>
    <w:lvl w:ilvl="2" w:tplc="A89009B8">
      <w:numFmt w:val="bullet"/>
      <w:lvlText w:val="•"/>
      <w:lvlJc w:val="left"/>
      <w:pPr>
        <w:ind w:left="2766" w:hanging="490"/>
      </w:pPr>
      <w:rPr>
        <w:rFonts w:hint="default"/>
        <w:lang w:val="en-US" w:eastAsia="en-US" w:bidi="ar-SA"/>
      </w:rPr>
    </w:lvl>
    <w:lvl w:ilvl="3" w:tplc="4C92D088">
      <w:numFmt w:val="bullet"/>
      <w:lvlText w:val="•"/>
      <w:lvlJc w:val="left"/>
      <w:pPr>
        <w:ind w:left="3613" w:hanging="490"/>
      </w:pPr>
      <w:rPr>
        <w:rFonts w:hint="default"/>
        <w:lang w:val="en-US" w:eastAsia="en-US" w:bidi="ar-SA"/>
      </w:rPr>
    </w:lvl>
    <w:lvl w:ilvl="4" w:tplc="9A7043E0">
      <w:numFmt w:val="bullet"/>
      <w:lvlText w:val="•"/>
      <w:lvlJc w:val="left"/>
      <w:pPr>
        <w:ind w:left="4460" w:hanging="490"/>
      </w:pPr>
      <w:rPr>
        <w:rFonts w:hint="default"/>
        <w:lang w:val="en-US" w:eastAsia="en-US" w:bidi="ar-SA"/>
      </w:rPr>
    </w:lvl>
    <w:lvl w:ilvl="5" w:tplc="44F603D6">
      <w:numFmt w:val="bullet"/>
      <w:lvlText w:val="•"/>
      <w:lvlJc w:val="left"/>
      <w:pPr>
        <w:ind w:left="5307" w:hanging="490"/>
      </w:pPr>
      <w:rPr>
        <w:rFonts w:hint="default"/>
        <w:lang w:val="en-US" w:eastAsia="en-US" w:bidi="ar-SA"/>
      </w:rPr>
    </w:lvl>
    <w:lvl w:ilvl="6" w:tplc="8EEEEACC">
      <w:numFmt w:val="bullet"/>
      <w:lvlText w:val="•"/>
      <w:lvlJc w:val="left"/>
      <w:pPr>
        <w:ind w:left="6154" w:hanging="490"/>
      </w:pPr>
      <w:rPr>
        <w:rFonts w:hint="default"/>
        <w:lang w:val="en-US" w:eastAsia="en-US" w:bidi="ar-SA"/>
      </w:rPr>
    </w:lvl>
    <w:lvl w:ilvl="7" w:tplc="59D0E5C2">
      <w:numFmt w:val="bullet"/>
      <w:lvlText w:val="•"/>
      <w:lvlJc w:val="left"/>
      <w:pPr>
        <w:ind w:left="7001" w:hanging="490"/>
      </w:pPr>
      <w:rPr>
        <w:rFonts w:hint="default"/>
        <w:lang w:val="en-US" w:eastAsia="en-US" w:bidi="ar-SA"/>
      </w:rPr>
    </w:lvl>
    <w:lvl w:ilvl="8" w:tplc="026C4484">
      <w:numFmt w:val="bullet"/>
      <w:lvlText w:val="•"/>
      <w:lvlJc w:val="left"/>
      <w:pPr>
        <w:ind w:left="7847" w:hanging="490"/>
      </w:pPr>
      <w:rPr>
        <w:rFonts w:hint="default"/>
        <w:lang w:val="en-US" w:eastAsia="en-US" w:bidi="ar-SA"/>
      </w:rPr>
    </w:lvl>
  </w:abstractNum>
  <w:abstractNum w:abstractNumId="12" w15:restartNumberingAfterBreak="0">
    <w:nsid w:val="2A332C45"/>
    <w:multiLevelType w:val="hybridMultilevel"/>
    <w:tmpl w:val="FE92CB6C"/>
    <w:lvl w:ilvl="0" w:tplc="71A2AE58">
      <w:start w:val="2"/>
      <w:numFmt w:val="decimal"/>
      <w:lvlText w:val="%1."/>
      <w:lvlJc w:val="left"/>
      <w:pPr>
        <w:ind w:left="217" w:hanging="221"/>
      </w:pPr>
      <w:rPr>
        <w:rFonts w:ascii="Times New Roman" w:eastAsia="Times New Roman" w:hAnsi="Times New Roman" w:cs="Times New Roman" w:hint="default"/>
        <w:b w:val="0"/>
        <w:bCs w:val="0"/>
        <w:i w:val="0"/>
        <w:iCs w:val="0"/>
        <w:w w:val="100"/>
        <w:sz w:val="22"/>
        <w:szCs w:val="22"/>
        <w:lang w:val="en-US" w:eastAsia="en-US" w:bidi="ar-SA"/>
      </w:rPr>
    </w:lvl>
    <w:lvl w:ilvl="1" w:tplc="EC5ABB2C">
      <w:numFmt w:val="bullet"/>
      <w:lvlText w:val="•"/>
      <w:lvlJc w:val="left"/>
      <w:pPr>
        <w:ind w:left="1152" w:hanging="221"/>
      </w:pPr>
      <w:rPr>
        <w:rFonts w:hint="default"/>
        <w:lang w:val="en-US" w:eastAsia="en-US" w:bidi="ar-SA"/>
      </w:rPr>
    </w:lvl>
    <w:lvl w:ilvl="2" w:tplc="35489DA4">
      <w:numFmt w:val="bullet"/>
      <w:lvlText w:val="•"/>
      <w:lvlJc w:val="left"/>
      <w:pPr>
        <w:ind w:left="2084" w:hanging="221"/>
      </w:pPr>
      <w:rPr>
        <w:rFonts w:hint="default"/>
        <w:lang w:val="en-US" w:eastAsia="en-US" w:bidi="ar-SA"/>
      </w:rPr>
    </w:lvl>
    <w:lvl w:ilvl="3" w:tplc="4D2ACDD0">
      <w:numFmt w:val="bullet"/>
      <w:lvlText w:val="•"/>
      <w:lvlJc w:val="left"/>
      <w:pPr>
        <w:ind w:left="3016" w:hanging="221"/>
      </w:pPr>
      <w:rPr>
        <w:rFonts w:hint="default"/>
        <w:lang w:val="en-US" w:eastAsia="en-US" w:bidi="ar-SA"/>
      </w:rPr>
    </w:lvl>
    <w:lvl w:ilvl="4" w:tplc="1A688872">
      <w:numFmt w:val="bullet"/>
      <w:lvlText w:val="•"/>
      <w:lvlJc w:val="left"/>
      <w:pPr>
        <w:ind w:left="3948" w:hanging="221"/>
      </w:pPr>
      <w:rPr>
        <w:rFonts w:hint="default"/>
        <w:lang w:val="en-US" w:eastAsia="en-US" w:bidi="ar-SA"/>
      </w:rPr>
    </w:lvl>
    <w:lvl w:ilvl="5" w:tplc="DCEA9F10">
      <w:numFmt w:val="bullet"/>
      <w:lvlText w:val="•"/>
      <w:lvlJc w:val="left"/>
      <w:pPr>
        <w:ind w:left="4880" w:hanging="221"/>
      </w:pPr>
      <w:rPr>
        <w:rFonts w:hint="default"/>
        <w:lang w:val="en-US" w:eastAsia="en-US" w:bidi="ar-SA"/>
      </w:rPr>
    </w:lvl>
    <w:lvl w:ilvl="6" w:tplc="A2D2BAC8">
      <w:numFmt w:val="bullet"/>
      <w:lvlText w:val="•"/>
      <w:lvlJc w:val="left"/>
      <w:pPr>
        <w:ind w:left="5812" w:hanging="221"/>
      </w:pPr>
      <w:rPr>
        <w:rFonts w:hint="default"/>
        <w:lang w:val="en-US" w:eastAsia="en-US" w:bidi="ar-SA"/>
      </w:rPr>
    </w:lvl>
    <w:lvl w:ilvl="7" w:tplc="3DA6533E">
      <w:numFmt w:val="bullet"/>
      <w:lvlText w:val="•"/>
      <w:lvlJc w:val="left"/>
      <w:pPr>
        <w:ind w:left="6745" w:hanging="221"/>
      </w:pPr>
      <w:rPr>
        <w:rFonts w:hint="default"/>
        <w:lang w:val="en-US" w:eastAsia="en-US" w:bidi="ar-SA"/>
      </w:rPr>
    </w:lvl>
    <w:lvl w:ilvl="8" w:tplc="D9E8204A">
      <w:numFmt w:val="bullet"/>
      <w:lvlText w:val="•"/>
      <w:lvlJc w:val="left"/>
      <w:pPr>
        <w:ind w:left="7677" w:hanging="221"/>
      </w:pPr>
      <w:rPr>
        <w:rFonts w:hint="default"/>
        <w:lang w:val="en-US" w:eastAsia="en-US" w:bidi="ar-SA"/>
      </w:rPr>
    </w:lvl>
  </w:abstractNum>
  <w:abstractNum w:abstractNumId="13" w15:restartNumberingAfterBreak="0">
    <w:nsid w:val="326B6173"/>
    <w:multiLevelType w:val="hybridMultilevel"/>
    <w:tmpl w:val="AA449FA4"/>
    <w:lvl w:ilvl="0" w:tplc="D960EC60">
      <w:start w:val="1"/>
      <w:numFmt w:val="bullet"/>
      <w:lvlText w:val=""/>
      <w:lvlJc w:val="left"/>
      <w:pPr>
        <w:tabs>
          <w:tab w:val="num" w:pos="720"/>
        </w:tabs>
        <w:ind w:left="720" w:hanging="360"/>
      </w:pPr>
      <w:rPr>
        <w:rFonts w:ascii="Symbol" w:hAnsi="Symbol" w:hint="default"/>
      </w:rPr>
    </w:lvl>
    <w:lvl w:ilvl="1" w:tplc="D5583808" w:tentative="1">
      <w:start w:val="1"/>
      <w:numFmt w:val="bullet"/>
      <w:lvlText w:val=""/>
      <w:lvlJc w:val="left"/>
      <w:pPr>
        <w:tabs>
          <w:tab w:val="num" w:pos="1440"/>
        </w:tabs>
        <w:ind w:left="1440" w:hanging="360"/>
      </w:pPr>
      <w:rPr>
        <w:rFonts w:ascii="Symbol" w:hAnsi="Symbol" w:hint="default"/>
      </w:rPr>
    </w:lvl>
    <w:lvl w:ilvl="2" w:tplc="FA00616E" w:tentative="1">
      <w:start w:val="1"/>
      <w:numFmt w:val="bullet"/>
      <w:lvlText w:val=""/>
      <w:lvlJc w:val="left"/>
      <w:pPr>
        <w:tabs>
          <w:tab w:val="num" w:pos="2160"/>
        </w:tabs>
        <w:ind w:left="2160" w:hanging="360"/>
      </w:pPr>
      <w:rPr>
        <w:rFonts w:ascii="Symbol" w:hAnsi="Symbol" w:hint="default"/>
      </w:rPr>
    </w:lvl>
    <w:lvl w:ilvl="3" w:tplc="42E0E3C8" w:tentative="1">
      <w:start w:val="1"/>
      <w:numFmt w:val="bullet"/>
      <w:lvlText w:val=""/>
      <w:lvlJc w:val="left"/>
      <w:pPr>
        <w:tabs>
          <w:tab w:val="num" w:pos="2880"/>
        </w:tabs>
        <w:ind w:left="2880" w:hanging="360"/>
      </w:pPr>
      <w:rPr>
        <w:rFonts w:ascii="Symbol" w:hAnsi="Symbol" w:hint="default"/>
      </w:rPr>
    </w:lvl>
    <w:lvl w:ilvl="4" w:tplc="2186899E" w:tentative="1">
      <w:start w:val="1"/>
      <w:numFmt w:val="bullet"/>
      <w:lvlText w:val=""/>
      <w:lvlJc w:val="left"/>
      <w:pPr>
        <w:tabs>
          <w:tab w:val="num" w:pos="3600"/>
        </w:tabs>
        <w:ind w:left="3600" w:hanging="360"/>
      </w:pPr>
      <w:rPr>
        <w:rFonts w:ascii="Symbol" w:hAnsi="Symbol" w:hint="default"/>
      </w:rPr>
    </w:lvl>
    <w:lvl w:ilvl="5" w:tplc="EEA26B98" w:tentative="1">
      <w:start w:val="1"/>
      <w:numFmt w:val="bullet"/>
      <w:lvlText w:val=""/>
      <w:lvlJc w:val="left"/>
      <w:pPr>
        <w:tabs>
          <w:tab w:val="num" w:pos="4320"/>
        </w:tabs>
        <w:ind w:left="4320" w:hanging="360"/>
      </w:pPr>
      <w:rPr>
        <w:rFonts w:ascii="Symbol" w:hAnsi="Symbol" w:hint="default"/>
      </w:rPr>
    </w:lvl>
    <w:lvl w:ilvl="6" w:tplc="16EE162E" w:tentative="1">
      <w:start w:val="1"/>
      <w:numFmt w:val="bullet"/>
      <w:lvlText w:val=""/>
      <w:lvlJc w:val="left"/>
      <w:pPr>
        <w:tabs>
          <w:tab w:val="num" w:pos="5040"/>
        </w:tabs>
        <w:ind w:left="5040" w:hanging="360"/>
      </w:pPr>
      <w:rPr>
        <w:rFonts w:ascii="Symbol" w:hAnsi="Symbol" w:hint="default"/>
      </w:rPr>
    </w:lvl>
    <w:lvl w:ilvl="7" w:tplc="4E1E2BD6" w:tentative="1">
      <w:start w:val="1"/>
      <w:numFmt w:val="bullet"/>
      <w:lvlText w:val=""/>
      <w:lvlJc w:val="left"/>
      <w:pPr>
        <w:tabs>
          <w:tab w:val="num" w:pos="5760"/>
        </w:tabs>
        <w:ind w:left="5760" w:hanging="360"/>
      </w:pPr>
      <w:rPr>
        <w:rFonts w:ascii="Symbol" w:hAnsi="Symbol" w:hint="default"/>
      </w:rPr>
    </w:lvl>
    <w:lvl w:ilvl="8" w:tplc="2C82EBA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B7527CC"/>
    <w:multiLevelType w:val="hybridMultilevel"/>
    <w:tmpl w:val="0AF48478"/>
    <w:lvl w:ilvl="0" w:tplc="79808D04">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4830C1E0">
      <w:numFmt w:val="bullet"/>
      <w:lvlText w:val="•"/>
      <w:lvlJc w:val="left"/>
      <w:pPr>
        <w:ind w:left="1656" w:hanging="567"/>
      </w:pPr>
      <w:rPr>
        <w:rFonts w:hint="default"/>
        <w:lang w:val="en-US" w:eastAsia="en-US" w:bidi="ar-SA"/>
      </w:rPr>
    </w:lvl>
    <w:lvl w:ilvl="2" w:tplc="3AAC61E6">
      <w:numFmt w:val="bullet"/>
      <w:lvlText w:val="•"/>
      <w:lvlJc w:val="left"/>
      <w:pPr>
        <w:ind w:left="2532" w:hanging="567"/>
      </w:pPr>
      <w:rPr>
        <w:rFonts w:hint="default"/>
        <w:lang w:val="en-US" w:eastAsia="en-US" w:bidi="ar-SA"/>
      </w:rPr>
    </w:lvl>
    <w:lvl w:ilvl="3" w:tplc="0DBE930C">
      <w:numFmt w:val="bullet"/>
      <w:lvlText w:val="•"/>
      <w:lvlJc w:val="left"/>
      <w:pPr>
        <w:ind w:left="3408" w:hanging="567"/>
      </w:pPr>
      <w:rPr>
        <w:rFonts w:hint="default"/>
        <w:lang w:val="en-US" w:eastAsia="en-US" w:bidi="ar-SA"/>
      </w:rPr>
    </w:lvl>
    <w:lvl w:ilvl="4" w:tplc="95BE4312">
      <w:numFmt w:val="bullet"/>
      <w:lvlText w:val="•"/>
      <w:lvlJc w:val="left"/>
      <w:pPr>
        <w:ind w:left="4284" w:hanging="567"/>
      </w:pPr>
      <w:rPr>
        <w:rFonts w:hint="default"/>
        <w:lang w:val="en-US" w:eastAsia="en-US" w:bidi="ar-SA"/>
      </w:rPr>
    </w:lvl>
    <w:lvl w:ilvl="5" w:tplc="9C82B9BC">
      <w:numFmt w:val="bullet"/>
      <w:lvlText w:val="•"/>
      <w:lvlJc w:val="left"/>
      <w:pPr>
        <w:ind w:left="5160" w:hanging="567"/>
      </w:pPr>
      <w:rPr>
        <w:rFonts w:hint="default"/>
        <w:lang w:val="en-US" w:eastAsia="en-US" w:bidi="ar-SA"/>
      </w:rPr>
    </w:lvl>
    <w:lvl w:ilvl="6" w:tplc="0AAE33F4">
      <w:numFmt w:val="bullet"/>
      <w:lvlText w:val="•"/>
      <w:lvlJc w:val="left"/>
      <w:pPr>
        <w:ind w:left="6036" w:hanging="567"/>
      </w:pPr>
      <w:rPr>
        <w:rFonts w:hint="default"/>
        <w:lang w:val="en-US" w:eastAsia="en-US" w:bidi="ar-SA"/>
      </w:rPr>
    </w:lvl>
    <w:lvl w:ilvl="7" w:tplc="8C68D9A4">
      <w:numFmt w:val="bullet"/>
      <w:lvlText w:val="•"/>
      <w:lvlJc w:val="left"/>
      <w:pPr>
        <w:ind w:left="6913" w:hanging="567"/>
      </w:pPr>
      <w:rPr>
        <w:rFonts w:hint="default"/>
        <w:lang w:val="en-US" w:eastAsia="en-US" w:bidi="ar-SA"/>
      </w:rPr>
    </w:lvl>
    <w:lvl w:ilvl="8" w:tplc="1E086C74">
      <w:numFmt w:val="bullet"/>
      <w:lvlText w:val="•"/>
      <w:lvlJc w:val="left"/>
      <w:pPr>
        <w:ind w:left="7789" w:hanging="567"/>
      </w:pPr>
      <w:rPr>
        <w:rFonts w:hint="default"/>
        <w:lang w:val="en-US" w:eastAsia="en-US" w:bidi="ar-SA"/>
      </w:rPr>
    </w:lvl>
  </w:abstractNum>
  <w:abstractNum w:abstractNumId="15" w15:restartNumberingAfterBreak="0">
    <w:nsid w:val="3D0523D1"/>
    <w:multiLevelType w:val="hybridMultilevel"/>
    <w:tmpl w:val="7C0EA9D2"/>
    <w:lvl w:ilvl="0" w:tplc="77965C0E">
      <w:numFmt w:val="bullet"/>
      <w:lvlText w:val=""/>
      <w:lvlJc w:val="left"/>
      <w:pPr>
        <w:ind w:left="784" w:hanging="207"/>
      </w:pPr>
      <w:rPr>
        <w:rFonts w:ascii="Symbol" w:eastAsia="Symbol" w:hAnsi="Symbol" w:cs="Symbol" w:hint="default"/>
        <w:b w:val="0"/>
        <w:bCs w:val="0"/>
        <w:i w:val="0"/>
        <w:iCs w:val="0"/>
        <w:w w:val="100"/>
        <w:sz w:val="22"/>
        <w:szCs w:val="22"/>
        <w:lang w:val="en-US" w:eastAsia="en-US" w:bidi="ar-SA"/>
      </w:rPr>
    </w:lvl>
    <w:lvl w:ilvl="1" w:tplc="0D20BFDE">
      <w:numFmt w:val="bullet"/>
      <w:lvlText w:val="•"/>
      <w:lvlJc w:val="left"/>
      <w:pPr>
        <w:ind w:left="1656" w:hanging="207"/>
      </w:pPr>
      <w:rPr>
        <w:rFonts w:hint="default"/>
        <w:lang w:val="en-US" w:eastAsia="en-US" w:bidi="ar-SA"/>
      </w:rPr>
    </w:lvl>
    <w:lvl w:ilvl="2" w:tplc="2184054C">
      <w:numFmt w:val="bullet"/>
      <w:lvlText w:val="•"/>
      <w:lvlJc w:val="left"/>
      <w:pPr>
        <w:ind w:left="2532" w:hanging="207"/>
      </w:pPr>
      <w:rPr>
        <w:rFonts w:hint="default"/>
        <w:lang w:val="en-US" w:eastAsia="en-US" w:bidi="ar-SA"/>
      </w:rPr>
    </w:lvl>
    <w:lvl w:ilvl="3" w:tplc="8F124FDE">
      <w:numFmt w:val="bullet"/>
      <w:lvlText w:val="•"/>
      <w:lvlJc w:val="left"/>
      <w:pPr>
        <w:ind w:left="3408" w:hanging="207"/>
      </w:pPr>
      <w:rPr>
        <w:rFonts w:hint="default"/>
        <w:lang w:val="en-US" w:eastAsia="en-US" w:bidi="ar-SA"/>
      </w:rPr>
    </w:lvl>
    <w:lvl w:ilvl="4" w:tplc="47EA4A40">
      <w:numFmt w:val="bullet"/>
      <w:lvlText w:val="•"/>
      <w:lvlJc w:val="left"/>
      <w:pPr>
        <w:ind w:left="4284" w:hanging="207"/>
      </w:pPr>
      <w:rPr>
        <w:rFonts w:hint="default"/>
        <w:lang w:val="en-US" w:eastAsia="en-US" w:bidi="ar-SA"/>
      </w:rPr>
    </w:lvl>
    <w:lvl w:ilvl="5" w:tplc="D51040F8">
      <w:numFmt w:val="bullet"/>
      <w:lvlText w:val="•"/>
      <w:lvlJc w:val="left"/>
      <w:pPr>
        <w:ind w:left="5160" w:hanging="207"/>
      </w:pPr>
      <w:rPr>
        <w:rFonts w:hint="default"/>
        <w:lang w:val="en-US" w:eastAsia="en-US" w:bidi="ar-SA"/>
      </w:rPr>
    </w:lvl>
    <w:lvl w:ilvl="6" w:tplc="E942416A">
      <w:numFmt w:val="bullet"/>
      <w:lvlText w:val="•"/>
      <w:lvlJc w:val="left"/>
      <w:pPr>
        <w:ind w:left="6036" w:hanging="207"/>
      </w:pPr>
      <w:rPr>
        <w:rFonts w:hint="default"/>
        <w:lang w:val="en-US" w:eastAsia="en-US" w:bidi="ar-SA"/>
      </w:rPr>
    </w:lvl>
    <w:lvl w:ilvl="7" w:tplc="0F92AB7E">
      <w:numFmt w:val="bullet"/>
      <w:lvlText w:val="•"/>
      <w:lvlJc w:val="left"/>
      <w:pPr>
        <w:ind w:left="6913" w:hanging="207"/>
      </w:pPr>
      <w:rPr>
        <w:rFonts w:hint="default"/>
        <w:lang w:val="en-US" w:eastAsia="en-US" w:bidi="ar-SA"/>
      </w:rPr>
    </w:lvl>
    <w:lvl w:ilvl="8" w:tplc="ABFA0B90">
      <w:numFmt w:val="bullet"/>
      <w:lvlText w:val="•"/>
      <w:lvlJc w:val="left"/>
      <w:pPr>
        <w:ind w:left="7789" w:hanging="207"/>
      </w:pPr>
      <w:rPr>
        <w:rFonts w:hint="default"/>
        <w:lang w:val="en-US" w:eastAsia="en-US" w:bidi="ar-SA"/>
      </w:rPr>
    </w:lvl>
  </w:abstractNum>
  <w:abstractNum w:abstractNumId="16" w15:restartNumberingAfterBreak="0">
    <w:nsid w:val="3F316D64"/>
    <w:multiLevelType w:val="hybridMultilevel"/>
    <w:tmpl w:val="A78E82A0"/>
    <w:lvl w:ilvl="0" w:tplc="C9C897E2">
      <w:numFmt w:val="bullet"/>
      <w:lvlText w:val=""/>
      <w:lvlJc w:val="left"/>
      <w:pPr>
        <w:ind w:left="784" w:hanging="567"/>
      </w:pPr>
      <w:rPr>
        <w:rFonts w:ascii="Symbol" w:eastAsia="Symbol" w:hAnsi="Symbol" w:cs="Symbol" w:hint="default"/>
        <w:b w:val="0"/>
        <w:bCs w:val="0"/>
        <w:i w:val="0"/>
        <w:iCs w:val="0"/>
        <w:w w:val="100"/>
        <w:sz w:val="22"/>
        <w:szCs w:val="22"/>
        <w:lang w:val="en-US" w:eastAsia="en-US" w:bidi="ar-SA"/>
      </w:rPr>
    </w:lvl>
    <w:lvl w:ilvl="1" w:tplc="2F6496F8">
      <w:numFmt w:val="bullet"/>
      <w:lvlText w:val="●"/>
      <w:lvlJc w:val="left"/>
      <w:pPr>
        <w:ind w:left="929" w:hanging="356"/>
      </w:pPr>
      <w:rPr>
        <w:rFonts w:ascii="Times New Roman" w:eastAsia="Times New Roman" w:hAnsi="Times New Roman" w:cs="Times New Roman" w:hint="default"/>
        <w:b w:val="0"/>
        <w:bCs w:val="0"/>
        <w:i w:val="0"/>
        <w:iCs w:val="0"/>
        <w:w w:val="100"/>
        <w:sz w:val="18"/>
        <w:szCs w:val="18"/>
        <w:lang w:val="en-US" w:eastAsia="en-US" w:bidi="ar-SA"/>
      </w:rPr>
    </w:lvl>
    <w:lvl w:ilvl="2" w:tplc="2166C044">
      <w:numFmt w:val="bullet"/>
      <w:lvlText w:val="•"/>
      <w:lvlJc w:val="left"/>
      <w:pPr>
        <w:ind w:left="1877" w:hanging="356"/>
      </w:pPr>
      <w:rPr>
        <w:rFonts w:hint="default"/>
        <w:lang w:val="en-US" w:eastAsia="en-US" w:bidi="ar-SA"/>
      </w:rPr>
    </w:lvl>
    <w:lvl w:ilvl="3" w:tplc="A8C060DE">
      <w:numFmt w:val="bullet"/>
      <w:lvlText w:val="•"/>
      <w:lvlJc w:val="left"/>
      <w:pPr>
        <w:ind w:left="2835" w:hanging="356"/>
      </w:pPr>
      <w:rPr>
        <w:rFonts w:hint="default"/>
        <w:lang w:val="en-US" w:eastAsia="en-US" w:bidi="ar-SA"/>
      </w:rPr>
    </w:lvl>
    <w:lvl w:ilvl="4" w:tplc="7A9C1E28">
      <w:numFmt w:val="bullet"/>
      <w:lvlText w:val="•"/>
      <w:lvlJc w:val="left"/>
      <w:pPr>
        <w:ind w:left="3793" w:hanging="356"/>
      </w:pPr>
      <w:rPr>
        <w:rFonts w:hint="default"/>
        <w:lang w:val="en-US" w:eastAsia="en-US" w:bidi="ar-SA"/>
      </w:rPr>
    </w:lvl>
    <w:lvl w:ilvl="5" w:tplc="61D4612E">
      <w:numFmt w:val="bullet"/>
      <w:lvlText w:val="•"/>
      <w:lvlJc w:val="left"/>
      <w:pPr>
        <w:ind w:left="4751" w:hanging="356"/>
      </w:pPr>
      <w:rPr>
        <w:rFonts w:hint="default"/>
        <w:lang w:val="en-US" w:eastAsia="en-US" w:bidi="ar-SA"/>
      </w:rPr>
    </w:lvl>
    <w:lvl w:ilvl="6" w:tplc="83721FE2">
      <w:numFmt w:val="bullet"/>
      <w:lvlText w:val="•"/>
      <w:lvlJc w:val="left"/>
      <w:pPr>
        <w:ind w:left="5709" w:hanging="356"/>
      </w:pPr>
      <w:rPr>
        <w:rFonts w:hint="default"/>
        <w:lang w:val="en-US" w:eastAsia="en-US" w:bidi="ar-SA"/>
      </w:rPr>
    </w:lvl>
    <w:lvl w:ilvl="7" w:tplc="64826E72">
      <w:numFmt w:val="bullet"/>
      <w:lvlText w:val="•"/>
      <w:lvlJc w:val="left"/>
      <w:pPr>
        <w:ind w:left="6667" w:hanging="356"/>
      </w:pPr>
      <w:rPr>
        <w:rFonts w:hint="default"/>
        <w:lang w:val="en-US" w:eastAsia="en-US" w:bidi="ar-SA"/>
      </w:rPr>
    </w:lvl>
    <w:lvl w:ilvl="8" w:tplc="A1A6C7D2">
      <w:numFmt w:val="bullet"/>
      <w:lvlText w:val="•"/>
      <w:lvlJc w:val="left"/>
      <w:pPr>
        <w:ind w:left="7625" w:hanging="356"/>
      </w:pPr>
      <w:rPr>
        <w:rFonts w:hint="default"/>
        <w:lang w:val="en-US" w:eastAsia="en-US" w:bidi="ar-SA"/>
      </w:rPr>
    </w:lvl>
  </w:abstractNum>
  <w:abstractNum w:abstractNumId="17" w15:restartNumberingAfterBreak="0">
    <w:nsid w:val="4DFE58A1"/>
    <w:multiLevelType w:val="multilevel"/>
    <w:tmpl w:val="B566A1DC"/>
    <w:lvl w:ilvl="0">
      <w:start w:val="6"/>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32" w:hanging="567"/>
      </w:pPr>
      <w:rPr>
        <w:rFonts w:hint="default"/>
        <w:lang w:val="en-US" w:eastAsia="en-US" w:bidi="ar-SA"/>
      </w:rPr>
    </w:lvl>
    <w:lvl w:ilvl="3">
      <w:numFmt w:val="bullet"/>
      <w:lvlText w:val="•"/>
      <w:lvlJc w:val="left"/>
      <w:pPr>
        <w:ind w:left="3408" w:hanging="567"/>
      </w:pPr>
      <w:rPr>
        <w:rFonts w:hint="default"/>
        <w:lang w:val="en-US" w:eastAsia="en-US" w:bidi="ar-SA"/>
      </w:rPr>
    </w:lvl>
    <w:lvl w:ilvl="4">
      <w:numFmt w:val="bullet"/>
      <w:lvlText w:val="•"/>
      <w:lvlJc w:val="left"/>
      <w:pPr>
        <w:ind w:left="4284" w:hanging="567"/>
      </w:pPr>
      <w:rPr>
        <w:rFonts w:hint="default"/>
        <w:lang w:val="en-US" w:eastAsia="en-US" w:bidi="ar-SA"/>
      </w:rPr>
    </w:lvl>
    <w:lvl w:ilvl="5">
      <w:numFmt w:val="bullet"/>
      <w:lvlText w:val="•"/>
      <w:lvlJc w:val="left"/>
      <w:pPr>
        <w:ind w:left="5160" w:hanging="567"/>
      </w:pPr>
      <w:rPr>
        <w:rFonts w:hint="default"/>
        <w:lang w:val="en-US" w:eastAsia="en-US" w:bidi="ar-SA"/>
      </w:rPr>
    </w:lvl>
    <w:lvl w:ilvl="6">
      <w:numFmt w:val="bullet"/>
      <w:lvlText w:val="•"/>
      <w:lvlJc w:val="left"/>
      <w:pPr>
        <w:ind w:left="6036" w:hanging="567"/>
      </w:pPr>
      <w:rPr>
        <w:rFonts w:hint="default"/>
        <w:lang w:val="en-US" w:eastAsia="en-US" w:bidi="ar-SA"/>
      </w:rPr>
    </w:lvl>
    <w:lvl w:ilvl="7">
      <w:numFmt w:val="bullet"/>
      <w:lvlText w:val="•"/>
      <w:lvlJc w:val="left"/>
      <w:pPr>
        <w:ind w:left="6913" w:hanging="567"/>
      </w:pPr>
      <w:rPr>
        <w:rFonts w:hint="default"/>
        <w:lang w:val="en-US" w:eastAsia="en-US" w:bidi="ar-SA"/>
      </w:rPr>
    </w:lvl>
    <w:lvl w:ilvl="8">
      <w:numFmt w:val="bullet"/>
      <w:lvlText w:val="•"/>
      <w:lvlJc w:val="left"/>
      <w:pPr>
        <w:ind w:left="7789" w:hanging="567"/>
      </w:pPr>
      <w:rPr>
        <w:rFonts w:hint="default"/>
        <w:lang w:val="en-US" w:eastAsia="en-US" w:bidi="ar-SA"/>
      </w:rPr>
    </w:lvl>
  </w:abstractNum>
  <w:abstractNum w:abstractNumId="18" w15:restartNumberingAfterBreak="0">
    <w:nsid w:val="5A257D39"/>
    <w:multiLevelType w:val="hybridMultilevel"/>
    <w:tmpl w:val="AF84CE00"/>
    <w:lvl w:ilvl="0" w:tplc="8FC882C8">
      <w:start w:val="1"/>
      <w:numFmt w:val="upperLetter"/>
      <w:lvlText w:val="%1."/>
      <w:lvlJc w:val="left"/>
      <w:pPr>
        <w:ind w:left="1917" w:hanging="567"/>
      </w:pPr>
      <w:rPr>
        <w:rFonts w:ascii="Times New Roman" w:eastAsia="Times New Roman" w:hAnsi="Times New Roman" w:cs="Times New Roman" w:hint="default"/>
        <w:b/>
        <w:bCs/>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06E26"/>
    <w:multiLevelType w:val="hybridMultilevel"/>
    <w:tmpl w:val="F5D48DF8"/>
    <w:lvl w:ilvl="0" w:tplc="EB884F10">
      <w:start w:val="1"/>
      <w:numFmt w:val="bullet"/>
      <w:lvlText w:val=""/>
      <w:lvlJc w:val="left"/>
      <w:pPr>
        <w:tabs>
          <w:tab w:val="num" w:pos="720"/>
        </w:tabs>
        <w:ind w:left="720" w:hanging="360"/>
      </w:pPr>
      <w:rPr>
        <w:rFonts w:ascii="Symbol" w:hAnsi="Symbol" w:hint="default"/>
      </w:rPr>
    </w:lvl>
    <w:lvl w:ilvl="1" w:tplc="9096554C" w:tentative="1">
      <w:start w:val="1"/>
      <w:numFmt w:val="bullet"/>
      <w:lvlText w:val=""/>
      <w:lvlJc w:val="left"/>
      <w:pPr>
        <w:tabs>
          <w:tab w:val="num" w:pos="1440"/>
        </w:tabs>
        <w:ind w:left="1440" w:hanging="360"/>
      </w:pPr>
      <w:rPr>
        <w:rFonts w:ascii="Symbol" w:hAnsi="Symbol" w:hint="default"/>
      </w:rPr>
    </w:lvl>
    <w:lvl w:ilvl="2" w:tplc="C6B6CCF0" w:tentative="1">
      <w:start w:val="1"/>
      <w:numFmt w:val="bullet"/>
      <w:lvlText w:val=""/>
      <w:lvlJc w:val="left"/>
      <w:pPr>
        <w:tabs>
          <w:tab w:val="num" w:pos="2160"/>
        </w:tabs>
        <w:ind w:left="2160" w:hanging="360"/>
      </w:pPr>
      <w:rPr>
        <w:rFonts w:ascii="Symbol" w:hAnsi="Symbol" w:hint="default"/>
      </w:rPr>
    </w:lvl>
    <w:lvl w:ilvl="3" w:tplc="C89A610E" w:tentative="1">
      <w:start w:val="1"/>
      <w:numFmt w:val="bullet"/>
      <w:lvlText w:val=""/>
      <w:lvlJc w:val="left"/>
      <w:pPr>
        <w:tabs>
          <w:tab w:val="num" w:pos="2880"/>
        </w:tabs>
        <w:ind w:left="2880" w:hanging="360"/>
      </w:pPr>
      <w:rPr>
        <w:rFonts w:ascii="Symbol" w:hAnsi="Symbol" w:hint="default"/>
      </w:rPr>
    </w:lvl>
    <w:lvl w:ilvl="4" w:tplc="C93E07CE" w:tentative="1">
      <w:start w:val="1"/>
      <w:numFmt w:val="bullet"/>
      <w:lvlText w:val=""/>
      <w:lvlJc w:val="left"/>
      <w:pPr>
        <w:tabs>
          <w:tab w:val="num" w:pos="3600"/>
        </w:tabs>
        <w:ind w:left="3600" w:hanging="360"/>
      </w:pPr>
      <w:rPr>
        <w:rFonts w:ascii="Symbol" w:hAnsi="Symbol" w:hint="default"/>
      </w:rPr>
    </w:lvl>
    <w:lvl w:ilvl="5" w:tplc="B57E11E0" w:tentative="1">
      <w:start w:val="1"/>
      <w:numFmt w:val="bullet"/>
      <w:lvlText w:val=""/>
      <w:lvlJc w:val="left"/>
      <w:pPr>
        <w:tabs>
          <w:tab w:val="num" w:pos="4320"/>
        </w:tabs>
        <w:ind w:left="4320" w:hanging="360"/>
      </w:pPr>
      <w:rPr>
        <w:rFonts w:ascii="Symbol" w:hAnsi="Symbol" w:hint="default"/>
      </w:rPr>
    </w:lvl>
    <w:lvl w:ilvl="6" w:tplc="0C383708" w:tentative="1">
      <w:start w:val="1"/>
      <w:numFmt w:val="bullet"/>
      <w:lvlText w:val=""/>
      <w:lvlJc w:val="left"/>
      <w:pPr>
        <w:tabs>
          <w:tab w:val="num" w:pos="5040"/>
        </w:tabs>
        <w:ind w:left="5040" w:hanging="360"/>
      </w:pPr>
      <w:rPr>
        <w:rFonts w:ascii="Symbol" w:hAnsi="Symbol" w:hint="default"/>
      </w:rPr>
    </w:lvl>
    <w:lvl w:ilvl="7" w:tplc="92D0C278" w:tentative="1">
      <w:start w:val="1"/>
      <w:numFmt w:val="bullet"/>
      <w:lvlText w:val=""/>
      <w:lvlJc w:val="left"/>
      <w:pPr>
        <w:tabs>
          <w:tab w:val="num" w:pos="5760"/>
        </w:tabs>
        <w:ind w:left="5760" w:hanging="360"/>
      </w:pPr>
      <w:rPr>
        <w:rFonts w:ascii="Symbol" w:hAnsi="Symbol" w:hint="default"/>
      </w:rPr>
    </w:lvl>
    <w:lvl w:ilvl="8" w:tplc="2FD0867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EAF32A9"/>
    <w:multiLevelType w:val="hybridMultilevel"/>
    <w:tmpl w:val="7EB0B8DA"/>
    <w:lvl w:ilvl="0" w:tplc="27A8CBF4">
      <w:start w:val="1"/>
      <w:numFmt w:val="upperLetter"/>
      <w:lvlText w:val="%1."/>
      <w:lvlJc w:val="left"/>
      <w:pPr>
        <w:ind w:left="4029"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1" w:tplc="CDA4B17C">
      <w:numFmt w:val="bullet"/>
      <w:lvlText w:val="•"/>
      <w:lvlJc w:val="left"/>
      <w:pPr>
        <w:ind w:left="4572" w:hanging="269"/>
      </w:pPr>
      <w:rPr>
        <w:rFonts w:hint="default"/>
        <w:lang w:val="en-US" w:eastAsia="en-US" w:bidi="ar-SA"/>
      </w:rPr>
    </w:lvl>
    <w:lvl w:ilvl="2" w:tplc="97842266">
      <w:numFmt w:val="bullet"/>
      <w:lvlText w:val="•"/>
      <w:lvlJc w:val="left"/>
      <w:pPr>
        <w:ind w:left="5124" w:hanging="269"/>
      </w:pPr>
      <w:rPr>
        <w:rFonts w:hint="default"/>
        <w:lang w:val="en-US" w:eastAsia="en-US" w:bidi="ar-SA"/>
      </w:rPr>
    </w:lvl>
    <w:lvl w:ilvl="3" w:tplc="0DCEF6EE">
      <w:numFmt w:val="bullet"/>
      <w:lvlText w:val="•"/>
      <w:lvlJc w:val="left"/>
      <w:pPr>
        <w:ind w:left="5676" w:hanging="269"/>
      </w:pPr>
      <w:rPr>
        <w:rFonts w:hint="default"/>
        <w:lang w:val="en-US" w:eastAsia="en-US" w:bidi="ar-SA"/>
      </w:rPr>
    </w:lvl>
    <w:lvl w:ilvl="4" w:tplc="B804FAA6">
      <w:numFmt w:val="bullet"/>
      <w:lvlText w:val="•"/>
      <w:lvlJc w:val="left"/>
      <w:pPr>
        <w:ind w:left="6228" w:hanging="269"/>
      </w:pPr>
      <w:rPr>
        <w:rFonts w:hint="default"/>
        <w:lang w:val="en-US" w:eastAsia="en-US" w:bidi="ar-SA"/>
      </w:rPr>
    </w:lvl>
    <w:lvl w:ilvl="5" w:tplc="5F0019AC">
      <w:numFmt w:val="bullet"/>
      <w:lvlText w:val="•"/>
      <w:lvlJc w:val="left"/>
      <w:pPr>
        <w:ind w:left="6780" w:hanging="269"/>
      </w:pPr>
      <w:rPr>
        <w:rFonts w:hint="default"/>
        <w:lang w:val="en-US" w:eastAsia="en-US" w:bidi="ar-SA"/>
      </w:rPr>
    </w:lvl>
    <w:lvl w:ilvl="6" w:tplc="34A85DD2">
      <w:numFmt w:val="bullet"/>
      <w:lvlText w:val="•"/>
      <w:lvlJc w:val="left"/>
      <w:pPr>
        <w:ind w:left="7332" w:hanging="269"/>
      </w:pPr>
      <w:rPr>
        <w:rFonts w:hint="default"/>
        <w:lang w:val="en-US" w:eastAsia="en-US" w:bidi="ar-SA"/>
      </w:rPr>
    </w:lvl>
    <w:lvl w:ilvl="7" w:tplc="D616AEBA">
      <w:numFmt w:val="bullet"/>
      <w:lvlText w:val="•"/>
      <w:lvlJc w:val="left"/>
      <w:pPr>
        <w:ind w:left="7885" w:hanging="269"/>
      </w:pPr>
      <w:rPr>
        <w:rFonts w:hint="default"/>
        <w:lang w:val="en-US" w:eastAsia="en-US" w:bidi="ar-SA"/>
      </w:rPr>
    </w:lvl>
    <w:lvl w:ilvl="8" w:tplc="A87C0948">
      <w:numFmt w:val="bullet"/>
      <w:lvlText w:val="•"/>
      <w:lvlJc w:val="left"/>
      <w:pPr>
        <w:ind w:left="8437" w:hanging="269"/>
      </w:pPr>
      <w:rPr>
        <w:rFonts w:hint="default"/>
        <w:lang w:val="en-US" w:eastAsia="en-US" w:bidi="ar-SA"/>
      </w:rPr>
    </w:lvl>
  </w:abstractNum>
  <w:abstractNum w:abstractNumId="21" w15:restartNumberingAfterBreak="0">
    <w:nsid w:val="77665FE4"/>
    <w:multiLevelType w:val="hybridMultilevel"/>
    <w:tmpl w:val="CFEE7032"/>
    <w:lvl w:ilvl="0" w:tplc="8F18F384">
      <w:numFmt w:val="bullet"/>
      <w:lvlText w:val="*"/>
      <w:lvlJc w:val="left"/>
      <w:pPr>
        <w:ind w:left="367" w:hanging="149"/>
      </w:pPr>
      <w:rPr>
        <w:rFonts w:ascii="Times New Roman" w:eastAsia="Times New Roman" w:hAnsi="Times New Roman" w:cs="Times New Roman" w:hint="default"/>
        <w:b w:val="0"/>
        <w:bCs w:val="0"/>
        <w:i w:val="0"/>
        <w:iCs w:val="0"/>
        <w:w w:val="99"/>
        <w:sz w:val="20"/>
        <w:szCs w:val="20"/>
        <w:lang w:val="en-US" w:eastAsia="en-US" w:bidi="ar-SA"/>
      </w:rPr>
    </w:lvl>
    <w:lvl w:ilvl="1" w:tplc="D2187964">
      <w:numFmt w:val="bullet"/>
      <w:lvlText w:val="•"/>
      <w:lvlJc w:val="left"/>
      <w:pPr>
        <w:ind w:left="1278" w:hanging="149"/>
      </w:pPr>
      <w:rPr>
        <w:rFonts w:hint="default"/>
        <w:lang w:val="en-US" w:eastAsia="en-US" w:bidi="ar-SA"/>
      </w:rPr>
    </w:lvl>
    <w:lvl w:ilvl="2" w:tplc="77C4324E">
      <w:numFmt w:val="bullet"/>
      <w:lvlText w:val="•"/>
      <w:lvlJc w:val="left"/>
      <w:pPr>
        <w:ind w:left="2196" w:hanging="149"/>
      </w:pPr>
      <w:rPr>
        <w:rFonts w:hint="default"/>
        <w:lang w:val="en-US" w:eastAsia="en-US" w:bidi="ar-SA"/>
      </w:rPr>
    </w:lvl>
    <w:lvl w:ilvl="3" w:tplc="669E4132">
      <w:numFmt w:val="bullet"/>
      <w:lvlText w:val="•"/>
      <w:lvlJc w:val="left"/>
      <w:pPr>
        <w:ind w:left="3114" w:hanging="149"/>
      </w:pPr>
      <w:rPr>
        <w:rFonts w:hint="default"/>
        <w:lang w:val="en-US" w:eastAsia="en-US" w:bidi="ar-SA"/>
      </w:rPr>
    </w:lvl>
    <w:lvl w:ilvl="4" w:tplc="B070690C">
      <w:numFmt w:val="bullet"/>
      <w:lvlText w:val="•"/>
      <w:lvlJc w:val="left"/>
      <w:pPr>
        <w:ind w:left="4032" w:hanging="149"/>
      </w:pPr>
      <w:rPr>
        <w:rFonts w:hint="default"/>
        <w:lang w:val="en-US" w:eastAsia="en-US" w:bidi="ar-SA"/>
      </w:rPr>
    </w:lvl>
    <w:lvl w:ilvl="5" w:tplc="471EAA30">
      <w:numFmt w:val="bullet"/>
      <w:lvlText w:val="•"/>
      <w:lvlJc w:val="left"/>
      <w:pPr>
        <w:ind w:left="4950" w:hanging="149"/>
      </w:pPr>
      <w:rPr>
        <w:rFonts w:hint="default"/>
        <w:lang w:val="en-US" w:eastAsia="en-US" w:bidi="ar-SA"/>
      </w:rPr>
    </w:lvl>
    <w:lvl w:ilvl="6" w:tplc="8DB4DA66">
      <w:numFmt w:val="bullet"/>
      <w:lvlText w:val="•"/>
      <w:lvlJc w:val="left"/>
      <w:pPr>
        <w:ind w:left="5868" w:hanging="149"/>
      </w:pPr>
      <w:rPr>
        <w:rFonts w:hint="default"/>
        <w:lang w:val="en-US" w:eastAsia="en-US" w:bidi="ar-SA"/>
      </w:rPr>
    </w:lvl>
    <w:lvl w:ilvl="7" w:tplc="0C686522">
      <w:numFmt w:val="bullet"/>
      <w:lvlText w:val="•"/>
      <w:lvlJc w:val="left"/>
      <w:pPr>
        <w:ind w:left="6787" w:hanging="149"/>
      </w:pPr>
      <w:rPr>
        <w:rFonts w:hint="default"/>
        <w:lang w:val="en-US" w:eastAsia="en-US" w:bidi="ar-SA"/>
      </w:rPr>
    </w:lvl>
    <w:lvl w:ilvl="8" w:tplc="24A2DB9A">
      <w:numFmt w:val="bullet"/>
      <w:lvlText w:val="•"/>
      <w:lvlJc w:val="left"/>
      <w:pPr>
        <w:ind w:left="7705" w:hanging="149"/>
      </w:pPr>
      <w:rPr>
        <w:rFonts w:hint="default"/>
        <w:lang w:val="en-US" w:eastAsia="en-US" w:bidi="ar-SA"/>
      </w:rPr>
    </w:lvl>
  </w:abstractNum>
  <w:abstractNum w:abstractNumId="22" w15:restartNumberingAfterBreak="0">
    <w:nsid w:val="7AD05BDC"/>
    <w:multiLevelType w:val="hybridMultilevel"/>
    <w:tmpl w:val="A240F2B4"/>
    <w:lvl w:ilvl="0" w:tplc="8710D0F6">
      <w:start w:val="1"/>
      <w:numFmt w:val="bullet"/>
      <w:lvlText w:val=""/>
      <w:lvlJc w:val="left"/>
      <w:pPr>
        <w:tabs>
          <w:tab w:val="num" w:pos="720"/>
        </w:tabs>
        <w:ind w:left="720" w:hanging="360"/>
      </w:pPr>
      <w:rPr>
        <w:rFonts w:ascii="Symbol" w:hAnsi="Symbol" w:hint="default"/>
      </w:rPr>
    </w:lvl>
    <w:lvl w:ilvl="1" w:tplc="09BA6E4A" w:tentative="1">
      <w:start w:val="1"/>
      <w:numFmt w:val="bullet"/>
      <w:lvlText w:val=""/>
      <w:lvlJc w:val="left"/>
      <w:pPr>
        <w:tabs>
          <w:tab w:val="num" w:pos="1440"/>
        </w:tabs>
        <w:ind w:left="1440" w:hanging="360"/>
      </w:pPr>
      <w:rPr>
        <w:rFonts w:ascii="Symbol" w:hAnsi="Symbol" w:hint="default"/>
      </w:rPr>
    </w:lvl>
    <w:lvl w:ilvl="2" w:tplc="68DE7F14" w:tentative="1">
      <w:start w:val="1"/>
      <w:numFmt w:val="bullet"/>
      <w:lvlText w:val=""/>
      <w:lvlJc w:val="left"/>
      <w:pPr>
        <w:tabs>
          <w:tab w:val="num" w:pos="2160"/>
        </w:tabs>
        <w:ind w:left="2160" w:hanging="360"/>
      </w:pPr>
      <w:rPr>
        <w:rFonts w:ascii="Symbol" w:hAnsi="Symbol" w:hint="default"/>
      </w:rPr>
    </w:lvl>
    <w:lvl w:ilvl="3" w:tplc="80FA91AE" w:tentative="1">
      <w:start w:val="1"/>
      <w:numFmt w:val="bullet"/>
      <w:lvlText w:val=""/>
      <w:lvlJc w:val="left"/>
      <w:pPr>
        <w:tabs>
          <w:tab w:val="num" w:pos="2880"/>
        </w:tabs>
        <w:ind w:left="2880" w:hanging="360"/>
      </w:pPr>
      <w:rPr>
        <w:rFonts w:ascii="Symbol" w:hAnsi="Symbol" w:hint="default"/>
      </w:rPr>
    </w:lvl>
    <w:lvl w:ilvl="4" w:tplc="42D6A02E" w:tentative="1">
      <w:start w:val="1"/>
      <w:numFmt w:val="bullet"/>
      <w:lvlText w:val=""/>
      <w:lvlJc w:val="left"/>
      <w:pPr>
        <w:tabs>
          <w:tab w:val="num" w:pos="3600"/>
        </w:tabs>
        <w:ind w:left="3600" w:hanging="360"/>
      </w:pPr>
      <w:rPr>
        <w:rFonts w:ascii="Symbol" w:hAnsi="Symbol" w:hint="default"/>
      </w:rPr>
    </w:lvl>
    <w:lvl w:ilvl="5" w:tplc="AD3C5196" w:tentative="1">
      <w:start w:val="1"/>
      <w:numFmt w:val="bullet"/>
      <w:lvlText w:val=""/>
      <w:lvlJc w:val="left"/>
      <w:pPr>
        <w:tabs>
          <w:tab w:val="num" w:pos="4320"/>
        </w:tabs>
        <w:ind w:left="4320" w:hanging="360"/>
      </w:pPr>
      <w:rPr>
        <w:rFonts w:ascii="Symbol" w:hAnsi="Symbol" w:hint="default"/>
      </w:rPr>
    </w:lvl>
    <w:lvl w:ilvl="6" w:tplc="6B7AA33A" w:tentative="1">
      <w:start w:val="1"/>
      <w:numFmt w:val="bullet"/>
      <w:lvlText w:val=""/>
      <w:lvlJc w:val="left"/>
      <w:pPr>
        <w:tabs>
          <w:tab w:val="num" w:pos="5040"/>
        </w:tabs>
        <w:ind w:left="5040" w:hanging="360"/>
      </w:pPr>
      <w:rPr>
        <w:rFonts w:ascii="Symbol" w:hAnsi="Symbol" w:hint="default"/>
      </w:rPr>
    </w:lvl>
    <w:lvl w:ilvl="7" w:tplc="7BC80344" w:tentative="1">
      <w:start w:val="1"/>
      <w:numFmt w:val="bullet"/>
      <w:lvlText w:val=""/>
      <w:lvlJc w:val="left"/>
      <w:pPr>
        <w:tabs>
          <w:tab w:val="num" w:pos="5760"/>
        </w:tabs>
        <w:ind w:left="5760" w:hanging="360"/>
      </w:pPr>
      <w:rPr>
        <w:rFonts w:ascii="Symbol" w:hAnsi="Symbol" w:hint="default"/>
      </w:rPr>
    </w:lvl>
    <w:lvl w:ilvl="8" w:tplc="9260FAEE" w:tentative="1">
      <w:start w:val="1"/>
      <w:numFmt w:val="bullet"/>
      <w:lvlText w:val=""/>
      <w:lvlJc w:val="left"/>
      <w:pPr>
        <w:tabs>
          <w:tab w:val="num" w:pos="6480"/>
        </w:tabs>
        <w:ind w:left="6480" w:hanging="360"/>
      </w:pPr>
      <w:rPr>
        <w:rFonts w:ascii="Symbol" w:hAnsi="Symbol" w:hint="default"/>
      </w:rPr>
    </w:lvl>
  </w:abstractNum>
  <w:num w:numId="1" w16cid:durableId="1220165724">
    <w:abstractNumId w:val="5"/>
  </w:num>
  <w:num w:numId="2" w16cid:durableId="1108499882">
    <w:abstractNumId w:val="8"/>
  </w:num>
  <w:num w:numId="3" w16cid:durableId="854418771">
    <w:abstractNumId w:val="6"/>
  </w:num>
  <w:num w:numId="4" w16cid:durableId="2039968408">
    <w:abstractNumId w:val="20"/>
  </w:num>
  <w:num w:numId="5" w16cid:durableId="268926707">
    <w:abstractNumId w:val="10"/>
  </w:num>
  <w:num w:numId="6" w16cid:durableId="61801459">
    <w:abstractNumId w:val="14"/>
  </w:num>
  <w:num w:numId="7" w16cid:durableId="805662905">
    <w:abstractNumId w:val="1"/>
  </w:num>
  <w:num w:numId="8" w16cid:durableId="533229023">
    <w:abstractNumId w:val="17"/>
  </w:num>
  <w:num w:numId="9" w16cid:durableId="1879588466">
    <w:abstractNumId w:val="9"/>
  </w:num>
  <w:num w:numId="10" w16cid:durableId="576020866">
    <w:abstractNumId w:val="15"/>
  </w:num>
  <w:num w:numId="11" w16cid:durableId="360671960">
    <w:abstractNumId w:val="21"/>
  </w:num>
  <w:num w:numId="12" w16cid:durableId="563566872">
    <w:abstractNumId w:val="11"/>
  </w:num>
  <w:num w:numId="13" w16cid:durableId="1535775613">
    <w:abstractNumId w:val="2"/>
  </w:num>
  <w:num w:numId="14" w16cid:durableId="1138718448">
    <w:abstractNumId w:val="16"/>
  </w:num>
  <w:num w:numId="15" w16cid:durableId="1529373923">
    <w:abstractNumId w:val="12"/>
  </w:num>
  <w:num w:numId="16" w16cid:durableId="1338925231">
    <w:abstractNumId w:val="0"/>
  </w:num>
  <w:num w:numId="17" w16cid:durableId="574710052">
    <w:abstractNumId w:val="7"/>
  </w:num>
  <w:num w:numId="18" w16cid:durableId="1477261931">
    <w:abstractNumId w:val="3"/>
  </w:num>
  <w:num w:numId="19" w16cid:durableId="268435615">
    <w:abstractNumId w:val="0"/>
  </w:num>
  <w:num w:numId="20" w16cid:durableId="1027678894">
    <w:abstractNumId w:val="0"/>
  </w:num>
  <w:num w:numId="21" w16cid:durableId="652179775">
    <w:abstractNumId w:val="0"/>
  </w:num>
  <w:num w:numId="22" w16cid:durableId="1766533763">
    <w:abstractNumId w:val="0"/>
  </w:num>
  <w:num w:numId="23" w16cid:durableId="977076992">
    <w:abstractNumId w:val="0"/>
  </w:num>
  <w:num w:numId="24" w16cid:durableId="1425030839">
    <w:abstractNumId w:val="0"/>
  </w:num>
  <w:num w:numId="25" w16cid:durableId="250820524">
    <w:abstractNumId w:val="0"/>
  </w:num>
  <w:num w:numId="26" w16cid:durableId="959148863">
    <w:abstractNumId w:val="13"/>
  </w:num>
  <w:num w:numId="27" w16cid:durableId="1019937617">
    <w:abstractNumId w:val="22"/>
  </w:num>
  <w:num w:numId="28" w16cid:durableId="1903520232">
    <w:abstractNumId w:val="19"/>
  </w:num>
  <w:num w:numId="29" w16cid:durableId="1654484609">
    <w:abstractNumId w:val="4"/>
  </w:num>
  <w:num w:numId="30" w16cid:durableId="1499230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EF"/>
    <w:rsid w:val="00003928"/>
    <w:rsid w:val="0000517A"/>
    <w:rsid w:val="00006F4F"/>
    <w:rsid w:val="000074F8"/>
    <w:rsid w:val="000110A9"/>
    <w:rsid w:val="00013DDB"/>
    <w:rsid w:val="00015B05"/>
    <w:rsid w:val="00020293"/>
    <w:rsid w:val="000262BC"/>
    <w:rsid w:val="000334CE"/>
    <w:rsid w:val="00034593"/>
    <w:rsid w:val="00036BE9"/>
    <w:rsid w:val="00042976"/>
    <w:rsid w:val="00046ECD"/>
    <w:rsid w:val="00051658"/>
    <w:rsid w:val="00052C55"/>
    <w:rsid w:val="000557D7"/>
    <w:rsid w:val="00057E34"/>
    <w:rsid w:val="00061947"/>
    <w:rsid w:val="00063788"/>
    <w:rsid w:val="00064388"/>
    <w:rsid w:val="00065138"/>
    <w:rsid w:val="00065848"/>
    <w:rsid w:val="00071A40"/>
    <w:rsid w:val="00071D5C"/>
    <w:rsid w:val="000759BE"/>
    <w:rsid w:val="000827A0"/>
    <w:rsid w:val="00087008"/>
    <w:rsid w:val="00093DAD"/>
    <w:rsid w:val="00096AD4"/>
    <w:rsid w:val="000A41ED"/>
    <w:rsid w:val="000A6BD2"/>
    <w:rsid w:val="000A7A37"/>
    <w:rsid w:val="000B474D"/>
    <w:rsid w:val="000C07C5"/>
    <w:rsid w:val="000C0C7D"/>
    <w:rsid w:val="000C580E"/>
    <w:rsid w:val="000D00E9"/>
    <w:rsid w:val="000D2E77"/>
    <w:rsid w:val="000D5773"/>
    <w:rsid w:val="000D5924"/>
    <w:rsid w:val="000D78B7"/>
    <w:rsid w:val="000E0402"/>
    <w:rsid w:val="000E2F2D"/>
    <w:rsid w:val="000E5CBC"/>
    <w:rsid w:val="000E68B9"/>
    <w:rsid w:val="000F6A5C"/>
    <w:rsid w:val="000F6A83"/>
    <w:rsid w:val="00101F96"/>
    <w:rsid w:val="001020B7"/>
    <w:rsid w:val="00103F57"/>
    <w:rsid w:val="001050E6"/>
    <w:rsid w:val="00105256"/>
    <w:rsid w:val="00110FA9"/>
    <w:rsid w:val="00111CB6"/>
    <w:rsid w:val="00112733"/>
    <w:rsid w:val="001170A4"/>
    <w:rsid w:val="001206C9"/>
    <w:rsid w:val="0012188D"/>
    <w:rsid w:val="00123B74"/>
    <w:rsid w:val="001278B6"/>
    <w:rsid w:val="001302FD"/>
    <w:rsid w:val="001319CB"/>
    <w:rsid w:val="00132F46"/>
    <w:rsid w:val="00133600"/>
    <w:rsid w:val="00147182"/>
    <w:rsid w:val="0015036F"/>
    <w:rsid w:val="00157F65"/>
    <w:rsid w:val="0016479B"/>
    <w:rsid w:val="001724A6"/>
    <w:rsid w:val="00173604"/>
    <w:rsid w:val="00175920"/>
    <w:rsid w:val="001A24EC"/>
    <w:rsid w:val="001B0C51"/>
    <w:rsid w:val="001B4062"/>
    <w:rsid w:val="001B4F1A"/>
    <w:rsid w:val="001B6E96"/>
    <w:rsid w:val="001C08E6"/>
    <w:rsid w:val="001C0A4C"/>
    <w:rsid w:val="001C1ACF"/>
    <w:rsid w:val="001C30F1"/>
    <w:rsid w:val="001C7FE7"/>
    <w:rsid w:val="001D1422"/>
    <w:rsid w:val="001D40D1"/>
    <w:rsid w:val="001E0437"/>
    <w:rsid w:val="001F15D2"/>
    <w:rsid w:val="001F1746"/>
    <w:rsid w:val="001F4FEF"/>
    <w:rsid w:val="001F5933"/>
    <w:rsid w:val="001F77E0"/>
    <w:rsid w:val="002070BA"/>
    <w:rsid w:val="002125C4"/>
    <w:rsid w:val="002226AD"/>
    <w:rsid w:val="002249EC"/>
    <w:rsid w:val="0023150B"/>
    <w:rsid w:val="0023303A"/>
    <w:rsid w:val="00237969"/>
    <w:rsid w:val="002405CC"/>
    <w:rsid w:val="00241629"/>
    <w:rsid w:val="002436F9"/>
    <w:rsid w:val="0024537C"/>
    <w:rsid w:val="00246864"/>
    <w:rsid w:val="00247342"/>
    <w:rsid w:val="00254447"/>
    <w:rsid w:val="00260733"/>
    <w:rsid w:val="002627C7"/>
    <w:rsid w:val="0026495E"/>
    <w:rsid w:val="00265426"/>
    <w:rsid w:val="00267822"/>
    <w:rsid w:val="00273A2F"/>
    <w:rsid w:val="00282CAA"/>
    <w:rsid w:val="00287A00"/>
    <w:rsid w:val="00291200"/>
    <w:rsid w:val="00295FBB"/>
    <w:rsid w:val="00297E43"/>
    <w:rsid w:val="00297E94"/>
    <w:rsid w:val="002A39BD"/>
    <w:rsid w:val="002A3B3D"/>
    <w:rsid w:val="002A55DD"/>
    <w:rsid w:val="002A5FD6"/>
    <w:rsid w:val="002B0C5A"/>
    <w:rsid w:val="002B27B3"/>
    <w:rsid w:val="002B78FA"/>
    <w:rsid w:val="002B7E7D"/>
    <w:rsid w:val="002D1C8A"/>
    <w:rsid w:val="002D3242"/>
    <w:rsid w:val="002D6CC4"/>
    <w:rsid w:val="002E58A1"/>
    <w:rsid w:val="002F0337"/>
    <w:rsid w:val="002F1213"/>
    <w:rsid w:val="002F574B"/>
    <w:rsid w:val="00301ED8"/>
    <w:rsid w:val="00311239"/>
    <w:rsid w:val="003112F6"/>
    <w:rsid w:val="00311590"/>
    <w:rsid w:val="0031165B"/>
    <w:rsid w:val="00312764"/>
    <w:rsid w:val="00313016"/>
    <w:rsid w:val="003133FE"/>
    <w:rsid w:val="0031757E"/>
    <w:rsid w:val="00317DAB"/>
    <w:rsid w:val="00320777"/>
    <w:rsid w:val="003312E1"/>
    <w:rsid w:val="003328F4"/>
    <w:rsid w:val="00335B59"/>
    <w:rsid w:val="003423E5"/>
    <w:rsid w:val="00344188"/>
    <w:rsid w:val="00344918"/>
    <w:rsid w:val="00344CA2"/>
    <w:rsid w:val="00344F02"/>
    <w:rsid w:val="00345671"/>
    <w:rsid w:val="00347AD3"/>
    <w:rsid w:val="00351145"/>
    <w:rsid w:val="003534F4"/>
    <w:rsid w:val="00353810"/>
    <w:rsid w:val="003548BC"/>
    <w:rsid w:val="003563EF"/>
    <w:rsid w:val="00356858"/>
    <w:rsid w:val="003601F7"/>
    <w:rsid w:val="00360683"/>
    <w:rsid w:val="003640A0"/>
    <w:rsid w:val="003763C2"/>
    <w:rsid w:val="00380D1B"/>
    <w:rsid w:val="003845FE"/>
    <w:rsid w:val="00384692"/>
    <w:rsid w:val="00385BB7"/>
    <w:rsid w:val="00390C67"/>
    <w:rsid w:val="003A3C4B"/>
    <w:rsid w:val="003A43E5"/>
    <w:rsid w:val="003A441C"/>
    <w:rsid w:val="003A616F"/>
    <w:rsid w:val="003A6A4A"/>
    <w:rsid w:val="003B1886"/>
    <w:rsid w:val="003B5EB4"/>
    <w:rsid w:val="003B6635"/>
    <w:rsid w:val="003B716E"/>
    <w:rsid w:val="003C1C0B"/>
    <w:rsid w:val="003C2E24"/>
    <w:rsid w:val="003C59C2"/>
    <w:rsid w:val="003C63FB"/>
    <w:rsid w:val="003D1F5C"/>
    <w:rsid w:val="003E0870"/>
    <w:rsid w:val="003E1105"/>
    <w:rsid w:val="003E13EC"/>
    <w:rsid w:val="003E1540"/>
    <w:rsid w:val="003E5CE2"/>
    <w:rsid w:val="003E6F81"/>
    <w:rsid w:val="003F0F8E"/>
    <w:rsid w:val="003F473F"/>
    <w:rsid w:val="003F6297"/>
    <w:rsid w:val="003F7BAB"/>
    <w:rsid w:val="00400ED1"/>
    <w:rsid w:val="00401466"/>
    <w:rsid w:val="0040147A"/>
    <w:rsid w:val="0040209A"/>
    <w:rsid w:val="00411BA7"/>
    <w:rsid w:val="00412282"/>
    <w:rsid w:val="00412A17"/>
    <w:rsid w:val="00412CCD"/>
    <w:rsid w:val="00412E2B"/>
    <w:rsid w:val="0041359F"/>
    <w:rsid w:val="00415EB9"/>
    <w:rsid w:val="00420BF3"/>
    <w:rsid w:val="00430C53"/>
    <w:rsid w:val="00434C5B"/>
    <w:rsid w:val="004361F8"/>
    <w:rsid w:val="004373FD"/>
    <w:rsid w:val="00441ECB"/>
    <w:rsid w:val="00443566"/>
    <w:rsid w:val="004444CD"/>
    <w:rsid w:val="004520E1"/>
    <w:rsid w:val="00452BDF"/>
    <w:rsid w:val="00454F6F"/>
    <w:rsid w:val="00455604"/>
    <w:rsid w:val="00461AA8"/>
    <w:rsid w:val="004630AD"/>
    <w:rsid w:val="004639BD"/>
    <w:rsid w:val="0046416D"/>
    <w:rsid w:val="004655B2"/>
    <w:rsid w:val="00472186"/>
    <w:rsid w:val="00472CFE"/>
    <w:rsid w:val="00473235"/>
    <w:rsid w:val="0047417B"/>
    <w:rsid w:val="004751F2"/>
    <w:rsid w:val="00475437"/>
    <w:rsid w:val="00480E7E"/>
    <w:rsid w:val="004840F6"/>
    <w:rsid w:val="004845F4"/>
    <w:rsid w:val="00487028"/>
    <w:rsid w:val="00496E3B"/>
    <w:rsid w:val="004A1C34"/>
    <w:rsid w:val="004A6289"/>
    <w:rsid w:val="004B3750"/>
    <w:rsid w:val="004B6649"/>
    <w:rsid w:val="004C09C2"/>
    <w:rsid w:val="004C3BD9"/>
    <w:rsid w:val="004C60BE"/>
    <w:rsid w:val="004C7915"/>
    <w:rsid w:val="004D13B4"/>
    <w:rsid w:val="004D3766"/>
    <w:rsid w:val="004D6A8A"/>
    <w:rsid w:val="004E0A85"/>
    <w:rsid w:val="004E1346"/>
    <w:rsid w:val="004E3130"/>
    <w:rsid w:val="004E318A"/>
    <w:rsid w:val="004E3759"/>
    <w:rsid w:val="004E6F8A"/>
    <w:rsid w:val="004E7C37"/>
    <w:rsid w:val="004F1869"/>
    <w:rsid w:val="004F2598"/>
    <w:rsid w:val="004F3377"/>
    <w:rsid w:val="0050387C"/>
    <w:rsid w:val="0051076C"/>
    <w:rsid w:val="00515644"/>
    <w:rsid w:val="00517355"/>
    <w:rsid w:val="0052262D"/>
    <w:rsid w:val="00522B87"/>
    <w:rsid w:val="00523F19"/>
    <w:rsid w:val="00525F4B"/>
    <w:rsid w:val="005279CC"/>
    <w:rsid w:val="00530188"/>
    <w:rsid w:val="00531F9D"/>
    <w:rsid w:val="005340EF"/>
    <w:rsid w:val="00540259"/>
    <w:rsid w:val="005437EB"/>
    <w:rsid w:val="005476B6"/>
    <w:rsid w:val="005603D7"/>
    <w:rsid w:val="00564B95"/>
    <w:rsid w:val="00570007"/>
    <w:rsid w:val="00570BFE"/>
    <w:rsid w:val="00572489"/>
    <w:rsid w:val="00573E1A"/>
    <w:rsid w:val="00580D0B"/>
    <w:rsid w:val="00586A15"/>
    <w:rsid w:val="005943F5"/>
    <w:rsid w:val="00597186"/>
    <w:rsid w:val="005B2923"/>
    <w:rsid w:val="005B6E02"/>
    <w:rsid w:val="005B7FFA"/>
    <w:rsid w:val="005C3865"/>
    <w:rsid w:val="005C5060"/>
    <w:rsid w:val="005C675A"/>
    <w:rsid w:val="005C683A"/>
    <w:rsid w:val="005D4399"/>
    <w:rsid w:val="005E057A"/>
    <w:rsid w:val="005E612F"/>
    <w:rsid w:val="005F56EF"/>
    <w:rsid w:val="006021CE"/>
    <w:rsid w:val="00610731"/>
    <w:rsid w:val="006120AB"/>
    <w:rsid w:val="00612AFE"/>
    <w:rsid w:val="00616E32"/>
    <w:rsid w:val="00623D6C"/>
    <w:rsid w:val="0062442E"/>
    <w:rsid w:val="0062499A"/>
    <w:rsid w:val="006251E8"/>
    <w:rsid w:val="00626055"/>
    <w:rsid w:val="00626189"/>
    <w:rsid w:val="00631812"/>
    <w:rsid w:val="006329B5"/>
    <w:rsid w:val="0063337E"/>
    <w:rsid w:val="00635181"/>
    <w:rsid w:val="00635556"/>
    <w:rsid w:val="00635BA9"/>
    <w:rsid w:val="00643282"/>
    <w:rsid w:val="00643E73"/>
    <w:rsid w:val="0064561A"/>
    <w:rsid w:val="00652997"/>
    <w:rsid w:val="00654A19"/>
    <w:rsid w:val="00660DDF"/>
    <w:rsid w:val="00661762"/>
    <w:rsid w:val="006667AB"/>
    <w:rsid w:val="00667130"/>
    <w:rsid w:val="00671B55"/>
    <w:rsid w:val="00675B54"/>
    <w:rsid w:val="00675D5B"/>
    <w:rsid w:val="00682095"/>
    <w:rsid w:val="0068278D"/>
    <w:rsid w:val="00684618"/>
    <w:rsid w:val="00686F72"/>
    <w:rsid w:val="0069340A"/>
    <w:rsid w:val="00693940"/>
    <w:rsid w:val="00697ACB"/>
    <w:rsid w:val="006A49F3"/>
    <w:rsid w:val="006B1019"/>
    <w:rsid w:val="006B1A38"/>
    <w:rsid w:val="006C0452"/>
    <w:rsid w:val="006C1BE0"/>
    <w:rsid w:val="006C4862"/>
    <w:rsid w:val="006D0605"/>
    <w:rsid w:val="006D0D74"/>
    <w:rsid w:val="006D1475"/>
    <w:rsid w:val="006D1DD9"/>
    <w:rsid w:val="006D29C4"/>
    <w:rsid w:val="006E016D"/>
    <w:rsid w:val="006E07EC"/>
    <w:rsid w:val="006E30F2"/>
    <w:rsid w:val="006E397E"/>
    <w:rsid w:val="006E75AF"/>
    <w:rsid w:val="006F3171"/>
    <w:rsid w:val="006F35F0"/>
    <w:rsid w:val="006F3AAA"/>
    <w:rsid w:val="006F56A2"/>
    <w:rsid w:val="006F6127"/>
    <w:rsid w:val="0070137A"/>
    <w:rsid w:val="00706EE2"/>
    <w:rsid w:val="00713E5A"/>
    <w:rsid w:val="00715454"/>
    <w:rsid w:val="00717A28"/>
    <w:rsid w:val="00723350"/>
    <w:rsid w:val="00732D68"/>
    <w:rsid w:val="00735C7A"/>
    <w:rsid w:val="00736CB5"/>
    <w:rsid w:val="00737595"/>
    <w:rsid w:val="0074036C"/>
    <w:rsid w:val="00747057"/>
    <w:rsid w:val="00747393"/>
    <w:rsid w:val="00751A1E"/>
    <w:rsid w:val="00752A61"/>
    <w:rsid w:val="007544AC"/>
    <w:rsid w:val="007553ED"/>
    <w:rsid w:val="007604AF"/>
    <w:rsid w:val="0076196B"/>
    <w:rsid w:val="00761D73"/>
    <w:rsid w:val="007622EA"/>
    <w:rsid w:val="00762ED1"/>
    <w:rsid w:val="00765087"/>
    <w:rsid w:val="00765991"/>
    <w:rsid w:val="007673CE"/>
    <w:rsid w:val="00774C8D"/>
    <w:rsid w:val="00777E66"/>
    <w:rsid w:val="00780766"/>
    <w:rsid w:val="00784BBB"/>
    <w:rsid w:val="00785745"/>
    <w:rsid w:val="0079124A"/>
    <w:rsid w:val="007916A0"/>
    <w:rsid w:val="0079244B"/>
    <w:rsid w:val="00792883"/>
    <w:rsid w:val="007A1402"/>
    <w:rsid w:val="007A335C"/>
    <w:rsid w:val="007A4318"/>
    <w:rsid w:val="007A5D23"/>
    <w:rsid w:val="007B1703"/>
    <w:rsid w:val="007C0B2C"/>
    <w:rsid w:val="007C6170"/>
    <w:rsid w:val="007D1F19"/>
    <w:rsid w:val="007D4601"/>
    <w:rsid w:val="007E69C7"/>
    <w:rsid w:val="007F4909"/>
    <w:rsid w:val="007F62A8"/>
    <w:rsid w:val="007F62BD"/>
    <w:rsid w:val="007F7673"/>
    <w:rsid w:val="00803D64"/>
    <w:rsid w:val="00804E31"/>
    <w:rsid w:val="00810E46"/>
    <w:rsid w:val="00812C56"/>
    <w:rsid w:val="008170CE"/>
    <w:rsid w:val="00817827"/>
    <w:rsid w:val="00822465"/>
    <w:rsid w:val="00823BDF"/>
    <w:rsid w:val="0082759D"/>
    <w:rsid w:val="008302D5"/>
    <w:rsid w:val="00830F00"/>
    <w:rsid w:val="00831141"/>
    <w:rsid w:val="00831596"/>
    <w:rsid w:val="00835413"/>
    <w:rsid w:val="00844C9E"/>
    <w:rsid w:val="008454A5"/>
    <w:rsid w:val="00853AC7"/>
    <w:rsid w:val="0085726A"/>
    <w:rsid w:val="00864D0E"/>
    <w:rsid w:val="0086580C"/>
    <w:rsid w:val="0086616B"/>
    <w:rsid w:val="008671AE"/>
    <w:rsid w:val="00873315"/>
    <w:rsid w:val="008823E3"/>
    <w:rsid w:val="0088248E"/>
    <w:rsid w:val="0088407C"/>
    <w:rsid w:val="00884552"/>
    <w:rsid w:val="00887F74"/>
    <w:rsid w:val="008968F0"/>
    <w:rsid w:val="008A706B"/>
    <w:rsid w:val="008B0C67"/>
    <w:rsid w:val="008B0CE5"/>
    <w:rsid w:val="008B2083"/>
    <w:rsid w:val="008B3D09"/>
    <w:rsid w:val="008B7D83"/>
    <w:rsid w:val="008C3237"/>
    <w:rsid w:val="008C54C2"/>
    <w:rsid w:val="008C570F"/>
    <w:rsid w:val="008D3DC8"/>
    <w:rsid w:val="008D45DC"/>
    <w:rsid w:val="008E1DDF"/>
    <w:rsid w:val="008E2A4E"/>
    <w:rsid w:val="008E4A4A"/>
    <w:rsid w:val="008E4C56"/>
    <w:rsid w:val="008E5152"/>
    <w:rsid w:val="008E7ECF"/>
    <w:rsid w:val="0090213F"/>
    <w:rsid w:val="00904888"/>
    <w:rsid w:val="00910B72"/>
    <w:rsid w:val="0091230A"/>
    <w:rsid w:val="00912602"/>
    <w:rsid w:val="0091280B"/>
    <w:rsid w:val="00914A91"/>
    <w:rsid w:val="00917522"/>
    <w:rsid w:val="0092341E"/>
    <w:rsid w:val="00925632"/>
    <w:rsid w:val="009308B5"/>
    <w:rsid w:val="00932CE9"/>
    <w:rsid w:val="00933021"/>
    <w:rsid w:val="00933451"/>
    <w:rsid w:val="0093365B"/>
    <w:rsid w:val="00935A0F"/>
    <w:rsid w:val="00937181"/>
    <w:rsid w:val="00941A05"/>
    <w:rsid w:val="0094279E"/>
    <w:rsid w:val="009452E0"/>
    <w:rsid w:val="0094646C"/>
    <w:rsid w:val="009479F3"/>
    <w:rsid w:val="009509C9"/>
    <w:rsid w:val="00951A02"/>
    <w:rsid w:val="00954BDC"/>
    <w:rsid w:val="009574AB"/>
    <w:rsid w:val="00957551"/>
    <w:rsid w:val="00963E5D"/>
    <w:rsid w:val="0096579B"/>
    <w:rsid w:val="009667C0"/>
    <w:rsid w:val="0096727C"/>
    <w:rsid w:val="0097192F"/>
    <w:rsid w:val="00974378"/>
    <w:rsid w:val="00982A62"/>
    <w:rsid w:val="009845DE"/>
    <w:rsid w:val="009847D7"/>
    <w:rsid w:val="00986A48"/>
    <w:rsid w:val="00987AE4"/>
    <w:rsid w:val="00995C4F"/>
    <w:rsid w:val="0099770F"/>
    <w:rsid w:val="009977E9"/>
    <w:rsid w:val="009A1720"/>
    <w:rsid w:val="009A337E"/>
    <w:rsid w:val="009A3C0C"/>
    <w:rsid w:val="009B11EF"/>
    <w:rsid w:val="009B1F54"/>
    <w:rsid w:val="009B1F6A"/>
    <w:rsid w:val="009B53C9"/>
    <w:rsid w:val="009B5946"/>
    <w:rsid w:val="009C00BF"/>
    <w:rsid w:val="009C4C8E"/>
    <w:rsid w:val="009D0055"/>
    <w:rsid w:val="009D58FA"/>
    <w:rsid w:val="009D5DC6"/>
    <w:rsid w:val="009D6E3B"/>
    <w:rsid w:val="009D7C20"/>
    <w:rsid w:val="009E44E6"/>
    <w:rsid w:val="009F3932"/>
    <w:rsid w:val="009F4009"/>
    <w:rsid w:val="009F607B"/>
    <w:rsid w:val="00A02D9B"/>
    <w:rsid w:val="00A03FE9"/>
    <w:rsid w:val="00A06DE6"/>
    <w:rsid w:val="00A073B1"/>
    <w:rsid w:val="00A106EA"/>
    <w:rsid w:val="00A114C0"/>
    <w:rsid w:val="00A120AB"/>
    <w:rsid w:val="00A13C67"/>
    <w:rsid w:val="00A147DA"/>
    <w:rsid w:val="00A14901"/>
    <w:rsid w:val="00A1548D"/>
    <w:rsid w:val="00A214D0"/>
    <w:rsid w:val="00A27AE2"/>
    <w:rsid w:val="00A27B71"/>
    <w:rsid w:val="00A3199B"/>
    <w:rsid w:val="00A32F2C"/>
    <w:rsid w:val="00A3734B"/>
    <w:rsid w:val="00A454FA"/>
    <w:rsid w:val="00A52E78"/>
    <w:rsid w:val="00A63B05"/>
    <w:rsid w:val="00A643B1"/>
    <w:rsid w:val="00A653E6"/>
    <w:rsid w:val="00A70A5B"/>
    <w:rsid w:val="00A71CE1"/>
    <w:rsid w:val="00A73D43"/>
    <w:rsid w:val="00A769A8"/>
    <w:rsid w:val="00A76F8C"/>
    <w:rsid w:val="00A81E1B"/>
    <w:rsid w:val="00A82547"/>
    <w:rsid w:val="00A8767D"/>
    <w:rsid w:val="00A929E1"/>
    <w:rsid w:val="00A937F7"/>
    <w:rsid w:val="00A9558A"/>
    <w:rsid w:val="00A95843"/>
    <w:rsid w:val="00A95F2C"/>
    <w:rsid w:val="00AA0C5B"/>
    <w:rsid w:val="00AA5542"/>
    <w:rsid w:val="00AA57C2"/>
    <w:rsid w:val="00AA766B"/>
    <w:rsid w:val="00AA7DB4"/>
    <w:rsid w:val="00AB0330"/>
    <w:rsid w:val="00AB0901"/>
    <w:rsid w:val="00AB159B"/>
    <w:rsid w:val="00AB235B"/>
    <w:rsid w:val="00AB3EA6"/>
    <w:rsid w:val="00AB6624"/>
    <w:rsid w:val="00AC30A6"/>
    <w:rsid w:val="00AC7CA8"/>
    <w:rsid w:val="00AD1672"/>
    <w:rsid w:val="00AD2DCA"/>
    <w:rsid w:val="00AD6243"/>
    <w:rsid w:val="00AD71D9"/>
    <w:rsid w:val="00AE0101"/>
    <w:rsid w:val="00AE5968"/>
    <w:rsid w:val="00AE5C00"/>
    <w:rsid w:val="00AE7B75"/>
    <w:rsid w:val="00AE7E5A"/>
    <w:rsid w:val="00AF3591"/>
    <w:rsid w:val="00AF4B5E"/>
    <w:rsid w:val="00AF53E6"/>
    <w:rsid w:val="00B00DC1"/>
    <w:rsid w:val="00B05CE0"/>
    <w:rsid w:val="00B0623C"/>
    <w:rsid w:val="00B10B6E"/>
    <w:rsid w:val="00B121CB"/>
    <w:rsid w:val="00B16D03"/>
    <w:rsid w:val="00B227EB"/>
    <w:rsid w:val="00B23E79"/>
    <w:rsid w:val="00B2596C"/>
    <w:rsid w:val="00B25D9F"/>
    <w:rsid w:val="00B27ABB"/>
    <w:rsid w:val="00B27BDB"/>
    <w:rsid w:val="00B300E0"/>
    <w:rsid w:val="00B36D00"/>
    <w:rsid w:val="00B4080C"/>
    <w:rsid w:val="00B45B6C"/>
    <w:rsid w:val="00B46519"/>
    <w:rsid w:val="00B508F8"/>
    <w:rsid w:val="00B50D27"/>
    <w:rsid w:val="00B61A22"/>
    <w:rsid w:val="00B700C1"/>
    <w:rsid w:val="00B70B6F"/>
    <w:rsid w:val="00B71717"/>
    <w:rsid w:val="00B77F5E"/>
    <w:rsid w:val="00B807AC"/>
    <w:rsid w:val="00B809F3"/>
    <w:rsid w:val="00B80A86"/>
    <w:rsid w:val="00B82C85"/>
    <w:rsid w:val="00B855A4"/>
    <w:rsid w:val="00B93D4E"/>
    <w:rsid w:val="00B95E7C"/>
    <w:rsid w:val="00B96EA9"/>
    <w:rsid w:val="00BB15FC"/>
    <w:rsid w:val="00BB1BD4"/>
    <w:rsid w:val="00BB23C3"/>
    <w:rsid w:val="00BB3FA9"/>
    <w:rsid w:val="00BC0810"/>
    <w:rsid w:val="00BC3982"/>
    <w:rsid w:val="00BD04F3"/>
    <w:rsid w:val="00BD7BD4"/>
    <w:rsid w:val="00BE2B07"/>
    <w:rsid w:val="00BE2ED8"/>
    <w:rsid w:val="00BE3448"/>
    <w:rsid w:val="00BE39C3"/>
    <w:rsid w:val="00BE4331"/>
    <w:rsid w:val="00BE5382"/>
    <w:rsid w:val="00BE5FF6"/>
    <w:rsid w:val="00BF1C93"/>
    <w:rsid w:val="00BF3AC0"/>
    <w:rsid w:val="00BF5F46"/>
    <w:rsid w:val="00BF625D"/>
    <w:rsid w:val="00BF66EF"/>
    <w:rsid w:val="00C01725"/>
    <w:rsid w:val="00C075E3"/>
    <w:rsid w:val="00C11DA4"/>
    <w:rsid w:val="00C25944"/>
    <w:rsid w:val="00C26915"/>
    <w:rsid w:val="00C26E07"/>
    <w:rsid w:val="00C30606"/>
    <w:rsid w:val="00C34764"/>
    <w:rsid w:val="00C34F7D"/>
    <w:rsid w:val="00C40DE7"/>
    <w:rsid w:val="00C43C01"/>
    <w:rsid w:val="00C44DC9"/>
    <w:rsid w:val="00C50137"/>
    <w:rsid w:val="00C527E4"/>
    <w:rsid w:val="00C52D30"/>
    <w:rsid w:val="00C5543E"/>
    <w:rsid w:val="00C56DAC"/>
    <w:rsid w:val="00C60EC8"/>
    <w:rsid w:val="00C616E8"/>
    <w:rsid w:val="00C62485"/>
    <w:rsid w:val="00C640C9"/>
    <w:rsid w:val="00C64F43"/>
    <w:rsid w:val="00C65F24"/>
    <w:rsid w:val="00C73E03"/>
    <w:rsid w:val="00C75E0F"/>
    <w:rsid w:val="00C76333"/>
    <w:rsid w:val="00C805DA"/>
    <w:rsid w:val="00C81F25"/>
    <w:rsid w:val="00C923B0"/>
    <w:rsid w:val="00C9277B"/>
    <w:rsid w:val="00C92B66"/>
    <w:rsid w:val="00C932A5"/>
    <w:rsid w:val="00C9334A"/>
    <w:rsid w:val="00C94220"/>
    <w:rsid w:val="00CA0E92"/>
    <w:rsid w:val="00CA2F8C"/>
    <w:rsid w:val="00CA3C3C"/>
    <w:rsid w:val="00CA5E54"/>
    <w:rsid w:val="00CA7730"/>
    <w:rsid w:val="00CB1053"/>
    <w:rsid w:val="00CB6BB7"/>
    <w:rsid w:val="00CB7F11"/>
    <w:rsid w:val="00CC38A9"/>
    <w:rsid w:val="00CC411E"/>
    <w:rsid w:val="00CC5052"/>
    <w:rsid w:val="00CC63E2"/>
    <w:rsid w:val="00CC795A"/>
    <w:rsid w:val="00CE0B18"/>
    <w:rsid w:val="00CE3139"/>
    <w:rsid w:val="00CE3CEB"/>
    <w:rsid w:val="00CE62FB"/>
    <w:rsid w:val="00CF1BD7"/>
    <w:rsid w:val="00CF2362"/>
    <w:rsid w:val="00D003C8"/>
    <w:rsid w:val="00D0052A"/>
    <w:rsid w:val="00D00AA4"/>
    <w:rsid w:val="00D019B9"/>
    <w:rsid w:val="00D04362"/>
    <w:rsid w:val="00D0579E"/>
    <w:rsid w:val="00D06DDB"/>
    <w:rsid w:val="00D07625"/>
    <w:rsid w:val="00D1000E"/>
    <w:rsid w:val="00D103DA"/>
    <w:rsid w:val="00D11C14"/>
    <w:rsid w:val="00D125CB"/>
    <w:rsid w:val="00D17BCE"/>
    <w:rsid w:val="00D20221"/>
    <w:rsid w:val="00D236E4"/>
    <w:rsid w:val="00D272FA"/>
    <w:rsid w:val="00D31843"/>
    <w:rsid w:val="00D33D67"/>
    <w:rsid w:val="00D415DE"/>
    <w:rsid w:val="00D44E2D"/>
    <w:rsid w:val="00D4521A"/>
    <w:rsid w:val="00D4592C"/>
    <w:rsid w:val="00D46D4A"/>
    <w:rsid w:val="00D528E4"/>
    <w:rsid w:val="00D57B83"/>
    <w:rsid w:val="00D610AE"/>
    <w:rsid w:val="00D61D11"/>
    <w:rsid w:val="00D6553D"/>
    <w:rsid w:val="00D70A93"/>
    <w:rsid w:val="00D7140B"/>
    <w:rsid w:val="00D73766"/>
    <w:rsid w:val="00D764C3"/>
    <w:rsid w:val="00D8249E"/>
    <w:rsid w:val="00D85A1B"/>
    <w:rsid w:val="00D92BDD"/>
    <w:rsid w:val="00D92C7B"/>
    <w:rsid w:val="00D94379"/>
    <w:rsid w:val="00D96EFA"/>
    <w:rsid w:val="00D97E9A"/>
    <w:rsid w:val="00DA0B12"/>
    <w:rsid w:val="00DA33B5"/>
    <w:rsid w:val="00DA5E8D"/>
    <w:rsid w:val="00DB2168"/>
    <w:rsid w:val="00DB2F42"/>
    <w:rsid w:val="00DB6B62"/>
    <w:rsid w:val="00DB7E79"/>
    <w:rsid w:val="00DC0B47"/>
    <w:rsid w:val="00DC6F53"/>
    <w:rsid w:val="00DD2998"/>
    <w:rsid w:val="00DD2E5E"/>
    <w:rsid w:val="00DD47A3"/>
    <w:rsid w:val="00DE491A"/>
    <w:rsid w:val="00DE58E0"/>
    <w:rsid w:val="00DF0B36"/>
    <w:rsid w:val="00DF3F59"/>
    <w:rsid w:val="00DF7E87"/>
    <w:rsid w:val="00E05047"/>
    <w:rsid w:val="00E06787"/>
    <w:rsid w:val="00E10AC0"/>
    <w:rsid w:val="00E11D6F"/>
    <w:rsid w:val="00E15324"/>
    <w:rsid w:val="00E202E4"/>
    <w:rsid w:val="00E355FF"/>
    <w:rsid w:val="00E35A6F"/>
    <w:rsid w:val="00E41757"/>
    <w:rsid w:val="00E442B1"/>
    <w:rsid w:val="00E47557"/>
    <w:rsid w:val="00E506C2"/>
    <w:rsid w:val="00E544A2"/>
    <w:rsid w:val="00E55261"/>
    <w:rsid w:val="00E57E81"/>
    <w:rsid w:val="00E62C14"/>
    <w:rsid w:val="00E74A31"/>
    <w:rsid w:val="00E76636"/>
    <w:rsid w:val="00E77006"/>
    <w:rsid w:val="00E85219"/>
    <w:rsid w:val="00E91222"/>
    <w:rsid w:val="00E93BD4"/>
    <w:rsid w:val="00E93EBB"/>
    <w:rsid w:val="00EA32FB"/>
    <w:rsid w:val="00EA59A2"/>
    <w:rsid w:val="00EB72B4"/>
    <w:rsid w:val="00EC1883"/>
    <w:rsid w:val="00EC2040"/>
    <w:rsid w:val="00EC372E"/>
    <w:rsid w:val="00EC42F6"/>
    <w:rsid w:val="00EC5CBE"/>
    <w:rsid w:val="00EC63C1"/>
    <w:rsid w:val="00EC6713"/>
    <w:rsid w:val="00EC6AEB"/>
    <w:rsid w:val="00ED44F0"/>
    <w:rsid w:val="00ED4B6A"/>
    <w:rsid w:val="00ED751F"/>
    <w:rsid w:val="00ED7D08"/>
    <w:rsid w:val="00EE0880"/>
    <w:rsid w:val="00EE6405"/>
    <w:rsid w:val="00EF051E"/>
    <w:rsid w:val="00EF15F3"/>
    <w:rsid w:val="00EF23B4"/>
    <w:rsid w:val="00EF25E5"/>
    <w:rsid w:val="00EF4689"/>
    <w:rsid w:val="00F0066E"/>
    <w:rsid w:val="00F00F9C"/>
    <w:rsid w:val="00F1069A"/>
    <w:rsid w:val="00F23A8F"/>
    <w:rsid w:val="00F24904"/>
    <w:rsid w:val="00F30E16"/>
    <w:rsid w:val="00F3238C"/>
    <w:rsid w:val="00F32A40"/>
    <w:rsid w:val="00F342E5"/>
    <w:rsid w:val="00F36106"/>
    <w:rsid w:val="00F40AA2"/>
    <w:rsid w:val="00F41ED6"/>
    <w:rsid w:val="00F42A40"/>
    <w:rsid w:val="00F466A3"/>
    <w:rsid w:val="00F4686B"/>
    <w:rsid w:val="00F47D54"/>
    <w:rsid w:val="00F50EBD"/>
    <w:rsid w:val="00F54C92"/>
    <w:rsid w:val="00F54F72"/>
    <w:rsid w:val="00F55362"/>
    <w:rsid w:val="00F55D94"/>
    <w:rsid w:val="00F56C20"/>
    <w:rsid w:val="00F57FFC"/>
    <w:rsid w:val="00F726A1"/>
    <w:rsid w:val="00F8145C"/>
    <w:rsid w:val="00F82A37"/>
    <w:rsid w:val="00F85794"/>
    <w:rsid w:val="00F86A89"/>
    <w:rsid w:val="00F86FAB"/>
    <w:rsid w:val="00F9010E"/>
    <w:rsid w:val="00F90981"/>
    <w:rsid w:val="00FA2C66"/>
    <w:rsid w:val="00FA5BD8"/>
    <w:rsid w:val="00FB2EA8"/>
    <w:rsid w:val="00FB35EE"/>
    <w:rsid w:val="00FB3C20"/>
    <w:rsid w:val="00FB733B"/>
    <w:rsid w:val="00FC1855"/>
    <w:rsid w:val="00FC57E5"/>
    <w:rsid w:val="00FD20DA"/>
    <w:rsid w:val="00FD2798"/>
    <w:rsid w:val="00FD4E14"/>
    <w:rsid w:val="00FD65D9"/>
    <w:rsid w:val="00FD7DCE"/>
    <w:rsid w:val="00FE0229"/>
    <w:rsid w:val="00FE39E6"/>
    <w:rsid w:val="00FE4EF5"/>
    <w:rsid w:val="00FE67F3"/>
    <w:rsid w:val="00FE7B98"/>
    <w:rsid w:val="00FE7FC1"/>
    <w:rsid w:val="00FF125F"/>
    <w:rsid w:val="00FF47CB"/>
    <w:rsid w:val="00FF54E5"/>
    <w:rsid w:val="00FF5848"/>
    <w:rsid w:val="00FF7C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DD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3"/>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784" w:hanging="567"/>
    </w:pPr>
  </w:style>
  <w:style w:type="paragraph" w:customStyle="1" w:styleId="TableParagraph">
    <w:name w:val="Table Paragraph"/>
    <w:basedOn w:val="a"/>
    <w:uiPriority w:val="1"/>
    <w:qFormat/>
  </w:style>
  <w:style w:type="paragraph" w:customStyle="1" w:styleId="Bullet1">
    <w:name w:val="Bullet 1"/>
    <w:basedOn w:val="a4"/>
    <w:qFormat/>
    <w:rsid w:val="00473235"/>
    <w:pPr>
      <w:numPr>
        <w:numId w:val="16"/>
      </w:numPr>
      <w:tabs>
        <w:tab w:val="left" w:pos="567"/>
      </w:tabs>
      <w:adjustRightInd w:val="0"/>
      <w:snapToGrid w:val="0"/>
      <w:ind w:left="567"/>
    </w:pPr>
    <w:rPr>
      <w:snapToGrid w:val="0"/>
    </w:rPr>
  </w:style>
  <w:style w:type="paragraph" w:styleId="a5">
    <w:name w:val="header"/>
    <w:basedOn w:val="a"/>
    <w:link w:val="Char0"/>
    <w:uiPriority w:val="99"/>
    <w:unhideWhenUsed/>
    <w:rsid w:val="000B474D"/>
    <w:pPr>
      <w:tabs>
        <w:tab w:val="center" w:pos="4680"/>
        <w:tab w:val="right" w:pos="9360"/>
      </w:tabs>
    </w:pPr>
  </w:style>
  <w:style w:type="character" w:customStyle="1" w:styleId="Char0">
    <w:name w:val="머리글 Char"/>
    <w:link w:val="a5"/>
    <w:uiPriority w:val="99"/>
    <w:rsid w:val="000B474D"/>
    <w:rPr>
      <w:rFonts w:ascii="Times New Roman" w:eastAsia="Times New Roman" w:hAnsi="Times New Roman" w:cs="Times New Roman"/>
      <w:sz w:val="22"/>
      <w:szCs w:val="22"/>
      <w:lang w:eastAsia="en-US"/>
    </w:rPr>
  </w:style>
  <w:style w:type="paragraph" w:styleId="a6">
    <w:name w:val="footer"/>
    <w:basedOn w:val="a"/>
    <w:link w:val="Char1"/>
    <w:uiPriority w:val="99"/>
    <w:unhideWhenUsed/>
    <w:rsid w:val="000B474D"/>
    <w:pPr>
      <w:tabs>
        <w:tab w:val="center" w:pos="4680"/>
        <w:tab w:val="right" w:pos="9360"/>
      </w:tabs>
    </w:pPr>
  </w:style>
  <w:style w:type="character" w:customStyle="1" w:styleId="Char1">
    <w:name w:val="바닥글 Char"/>
    <w:link w:val="a6"/>
    <w:uiPriority w:val="99"/>
    <w:rsid w:val="000B474D"/>
    <w:rPr>
      <w:rFonts w:ascii="Times New Roman" w:eastAsia="Times New Roman" w:hAnsi="Times New Roman" w:cs="Times New Roman"/>
      <w:sz w:val="22"/>
      <w:szCs w:val="22"/>
      <w:lang w:eastAsia="en-US"/>
    </w:rPr>
  </w:style>
  <w:style w:type="character" w:styleId="a7">
    <w:name w:val="annotation reference"/>
    <w:uiPriority w:val="99"/>
    <w:unhideWhenUsed/>
    <w:rsid w:val="00853AC7"/>
    <w:rPr>
      <w:sz w:val="16"/>
      <w:szCs w:val="16"/>
    </w:rPr>
  </w:style>
  <w:style w:type="paragraph" w:styleId="a8">
    <w:name w:val="annotation text"/>
    <w:aliases w:val=" Char1,Char1,Char2"/>
    <w:basedOn w:val="a"/>
    <w:link w:val="Char2"/>
    <w:unhideWhenUsed/>
    <w:rsid w:val="00853AC7"/>
    <w:rPr>
      <w:sz w:val="20"/>
      <w:szCs w:val="20"/>
    </w:rPr>
  </w:style>
  <w:style w:type="character" w:customStyle="1" w:styleId="Char2">
    <w:name w:val="메모 텍스트 Char"/>
    <w:aliases w:val=" Char1 Char,Char1 Char,Char2 Char"/>
    <w:link w:val="a8"/>
    <w:rsid w:val="00853AC7"/>
    <w:rPr>
      <w:rFonts w:ascii="Times New Roman" w:eastAsia="Times New Roman" w:hAnsi="Times New Roman" w:cs="Times New Roman"/>
      <w:lang w:eastAsia="en-US"/>
    </w:rPr>
  </w:style>
  <w:style w:type="paragraph" w:styleId="a9">
    <w:name w:val="annotation subject"/>
    <w:basedOn w:val="a8"/>
    <w:next w:val="a8"/>
    <w:link w:val="Char3"/>
    <w:uiPriority w:val="99"/>
    <w:semiHidden/>
    <w:unhideWhenUsed/>
    <w:rsid w:val="00853AC7"/>
    <w:rPr>
      <w:b/>
      <w:bCs/>
    </w:rPr>
  </w:style>
  <w:style w:type="character" w:customStyle="1" w:styleId="Char3">
    <w:name w:val="메모 주제 Char"/>
    <w:link w:val="a9"/>
    <w:uiPriority w:val="99"/>
    <w:semiHidden/>
    <w:rsid w:val="00853AC7"/>
    <w:rPr>
      <w:rFonts w:ascii="Times New Roman" w:eastAsia="Times New Roman" w:hAnsi="Times New Roman" w:cs="Times New Roman"/>
      <w:b/>
      <w:bCs/>
      <w:lang w:eastAsia="en-US"/>
    </w:rPr>
  </w:style>
  <w:style w:type="character" w:customStyle="1" w:styleId="Char">
    <w:name w:val="본문 Char"/>
    <w:link w:val="a3"/>
    <w:uiPriority w:val="1"/>
    <w:rsid w:val="000F6A5C"/>
    <w:rPr>
      <w:rFonts w:ascii="Times New Roman" w:eastAsia="Times New Roman" w:hAnsi="Times New Roman" w:cs="Times New Roman"/>
      <w:sz w:val="22"/>
      <w:szCs w:val="22"/>
      <w:lang w:eastAsia="en-US"/>
    </w:rPr>
  </w:style>
  <w:style w:type="paragraph" w:styleId="aa">
    <w:name w:val="Revision"/>
    <w:hidden/>
    <w:uiPriority w:val="99"/>
    <w:semiHidden/>
    <w:rsid w:val="000A7A37"/>
    <w:rPr>
      <w:rFonts w:ascii="Times New Roman" w:eastAsia="Times New Roman" w:hAnsi="Times New Roman" w:cs="Times New Roman"/>
      <w:sz w:val="22"/>
      <w:szCs w:val="22"/>
      <w:lang w:eastAsia="en-US"/>
    </w:rPr>
  </w:style>
  <w:style w:type="character" w:styleId="ab">
    <w:name w:val="Hyperlink"/>
    <w:uiPriority w:val="99"/>
    <w:rsid w:val="00C73E03"/>
    <w:rPr>
      <w:rFonts w:cs="Times New Roman"/>
      <w:color w:val="0000FF"/>
      <w:u w:val="single"/>
    </w:rPr>
  </w:style>
  <w:style w:type="paragraph" w:styleId="ac">
    <w:name w:val="Balloon Text"/>
    <w:basedOn w:val="a"/>
    <w:link w:val="Char4"/>
    <w:uiPriority w:val="99"/>
    <w:semiHidden/>
    <w:unhideWhenUsed/>
    <w:rsid w:val="00C81F25"/>
    <w:rPr>
      <w:rFonts w:ascii="Segoe UI" w:hAnsi="Segoe UI" w:cs="Segoe UI"/>
      <w:sz w:val="18"/>
      <w:szCs w:val="18"/>
    </w:rPr>
  </w:style>
  <w:style w:type="character" w:customStyle="1" w:styleId="Char4">
    <w:name w:val="풍선 도움말 텍스트 Char"/>
    <w:link w:val="ac"/>
    <w:uiPriority w:val="99"/>
    <w:semiHidden/>
    <w:rsid w:val="00C81F25"/>
    <w:rPr>
      <w:rFonts w:ascii="Segoe UI" w:eastAsia="Times New Roman" w:hAnsi="Segoe UI" w:cs="Segoe UI"/>
      <w:sz w:val="18"/>
      <w:szCs w:val="18"/>
      <w:lang w:val="en-US" w:eastAsia="en-US"/>
    </w:rPr>
  </w:style>
  <w:style w:type="paragraph" w:customStyle="1" w:styleId="Default">
    <w:name w:val="Default"/>
    <w:rsid w:val="00D11C14"/>
    <w:pPr>
      <w:autoSpaceDE w:val="0"/>
      <w:autoSpaceDN w:val="0"/>
      <w:adjustRightInd w:val="0"/>
    </w:pPr>
    <w:rPr>
      <w:rFonts w:ascii="Times New Roman" w:eastAsia="SimSun" w:hAnsi="Times New Roman" w:cs="Times New Roman"/>
      <w:color w:val="000000"/>
      <w:sz w:val="24"/>
      <w:szCs w:val="24"/>
      <w:lang w:eastAsia="zh-CN"/>
    </w:rPr>
  </w:style>
  <w:style w:type="character" w:styleId="ad">
    <w:name w:val="Unresolved Mention"/>
    <w:basedOn w:val="a0"/>
    <w:uiPriority w:val="99"/>
    <w:semiHidden/>
    <w:unhideWhenUsed/>
    <w:rsid w:val="00246864"/>
    <w:rPr>
      <w:color w:val="605E5C"/>
      <w:shd w:val="clear" w:color="auto" w:fill="E1DFDD"/>
    </w:rPr>
  </w:style>
  <w:style w:type="paragraph" w:customStyle="1" w:styleId="paragraph">
    <w:name w:val="paragraph"/>
    <w:basedOn w:val="a"/>
    <w:rsid w:val="00C43C01"/>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C43C01"/>
  </w:style>
  <w:style w:type="character" w:customStyle="1" w:styleId="eop">
    <w:name w:val="eop"/>
    <w:basedOn w:val="a0"/>
    <w:rsid w:val="00C4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322">
      <w:bodyDiv w:val="1"/>
      <w:marLeft w:val="0"/>
      <w:marRight w:val="0"/>
      <w:marTop w:val="0"/>
      <w:marBottom w:val="0"/>
      <w:divBdr>
        <w:top w:val="none" w:sz="0" w:space="0" w:color="auto"/>
        <w:left w:val="none" w:sz="0" w:space="0" w:color="auto"/>
        <w:bottom w:val="none" w:sz="0" w:space="0" w:color="auto"/>
        <w:right w:val="none" w:sz="0" w:space="0" w:color="auto"/>
      </w:divBdr>
      <w:divsChild>
        <w:div w:id="1091009756">
          <w:marLeft w:val="0"/>
          <w:marRight w:val="0"/>
          <w:marTop w:val="0"/>
          <w:marBottom w:val="0"/>
          <w:divBdr>
            <w:top w:val="none" w:sz="0" w:space="0" w:color="auto"/>
            <w:left w:val="none" w:sz="0" w:space="0" w:color="auto"/>
            <w:bottom w:val="none" w:sz="0" w:space="0" w:color="auto"/>
            <w:right w:val="none" w:sz="0" w:space="0" w:color="auto"/>
          </w:divBdr>
        </w:div>
        <w:div w:id="522286637">
          <w:marLeft w:val="0"/>
          <w:marRight w:val="0"/>
          <w:marTop w:val="0"/>
          <w:marBottom w:val="0"/>
          <w:divBdr>
            <w:top w:val="none" w:sz="0" w:space="0" w:color="auto"/>
            <w:left w:val="none" w:sz="0" w:space="0" w:color="auto"/>
            <w:bottom w:val="none" w:sz="0" w:space="0" w:color="auto"/>
            <w:right w:val="none" w:sz="0" w:space="0" w:color="auto"/>
          </w:divBdr>
        </w:div>
        <w:div w:id="1320380276">
          <w:marLeft w:val="0"/>
          <w:marRight w:val="0"/>
          <w:marTop w:val="0"/>
          <w:marBottom w:val="0"/>
          <w:divBdr>
            <w:top w:val="none" w:sz="0" w:space="0" w:color="auto"/>
            <w:left w:val="none" w:sz="0" w:space="0" w:color="auto"/>
            <w:bottom w:val="none" w:sz="0" w:space="0" w:color="auto"/>
            <w:right w:val="none" w:sz="0" w:space="0" w:color="auto"/>
          </w:divBdr>
        </w:div>
        <w:div w:id="1963073369">
          <w:marLeft w:val="0"/>
          <w:marRight w:val="0"/>
          <w:marTop w:val="0"/>
          <w:marBottom w:val="0"/>
          <w:divBdr>
            <w:top w:val="none" w:sz="0" w:space="0" w:color="auto"/>
            <w:left w:val="none" w:sz="0" w:space="0" w:color="auto"/>
            <w:bottom w:val="none" w:sz="0" w:space="0" w:color="auto"/>
            <w:right w:val="none" w:sz="0" w:space="0" w:color="auto"/>
          </w:divBdr>
        </w:div>
        <w:div w:id="745030297">
          <w:marLeft w:val="0"/>
          <w:marRight w:val="0"/>
          <w:marTop w:val="0"/>
          <w:marBottom w:val="0"/>
          <w:divBdr>
            <w:top w:val="none" w:sz="0" w:space="0" w:color="auto"/>
            <w:left w:val="none" w:sz="0" w:space="0" w:color="auto"/>
            <w:bottom w:val="none" w:sz="0" w:space="0" w:color="auto"/>
            <w:right w:val="none" w:sz="0" w:space="0" w:color="auto"/>
          </w:divBdr>
        </w:div>
      </w:divsChild>
    </w:div>
    <w:div w:id="429813537">
      <w:bodyDiv w:val="1"/>
      <w:marLeft w:val="0"/>
      <w:marRight w:val="0"/>
      <w:marTop w:val="0"/>
      <w:marBottom w:val="0"/>
      <w:divBdr>
        <w:top w:val="none" w:sz="0" w:space="0" w:color="auto"/>
        <w:left w:val="none" w:sz="0" w:space="0" w:color="auto"/>
        <w:bottom w:val="none" w:sz="0" w:space="0" w:color="auto"/>
        <w:right w:val="none" w:sz="0" w:space="0" w:color="auto"/>
      </w:divBdr>
    </w:div>
    <w:div w:id="1121609038">
      <w:bodyDiv w:val="1"/>
      <w:marLeft w:val="0"/>
      <w:marRight w:val="0"/>
      <w:marTop w:val="0"/>
      <w:marBottom w:val="0"/>
      <w:divBdr>
        <w:top w:val="none" w:sz="0" w:space="0" w:color="auto"/>
        <w:left w:val="none" w:sz="0" w:space="0" w:color="auto"/>
        <w:bottom w:val="none" w:sz="0" w:space="0" w:color="auto"/>
        <w:right w:val="none" w:sz="0" w:space="0" w:color="auto"/>
      </w:divBdr>
    </w:div>
    <w:div w:id="1486437111">
      <w:bodyDiv w:val="1"/>
      <w:marLeft w:val="0"/>
      <w:marRight w:val="0"/>
      <w:marTop w:val="0"/>
      <w:marBottom w:val="0"/>
      <w:divBdr>
        <w:top w:val="none" w:sz="0" w:space="0" w:color="auto"/>
        <w:left w:val="none" w:sz="0" w:space="0" w:color="auto"/>
        <w:bottom w:val="none" w:sz="0" w:space="0" w:color="auto"/>
        <w:right w:val="none" w:sz="0" w:space="0" w:color="auto"/>
      </w:divBdr>
      <w:divsChild>
        <w:div w:id="2143307192">
          <w:marLeft w:val="0"/>
          <w:marRight w:val="0"/>
          <w:marTop w:val="0"/>
          <w:marBottom w:val="0"/>
          <w:divBdr>
            <w:top w:val="none" w:sz="0" w:space="0" w:color="auto"/>
            <w:left w:val="none" w:sz="0" w:space="0" w:color="auto"/>
            <w:bottom w:val="none" w:sz="0" w:space="0" w:color="auto"/>
            <w:right w:val="none" w:sz="0" w:space="0" w:color="auto"/>
          </w:divBdr>
        </w:div>
        <w:div w:id="1018579837">
          <w:marLeft w:val="0"/>
          <w:marRight w:val="0"/>
          <w:marTop w:val="0"/>
          <w:marBottom w:val="0"/>
          <w:divBdr>
            <w:top w:val="none" w:sz="0" w:space="0" w:color="auto"/>
            <w:left w:val="none" w:sz="0" w:space="0" w:color="auto"/>
            <w:bottom w:val="none" w:sz="0" w:space="0" w:color="auto"/>
            <w:right w:val="none" w:sz="0" w:space="0" w:color="auto"/>
          </w:divBdr>
        </w:div>
        <w:div w:id="250706177">
          <w:marLeft w:val="0"/>
          <w:marRight w:val="0"/>
          <w:marTop w:val="0"/>
          <w:marBottom w:val="0"/>
          <w:divBdr>
            <w:top w:val="none" w:sz="0" w:space="0" w:color="auto"/>
            <w:left w:val="none" w:sz="0" w:space="0" w:color="auto"/>
            <w:bottom w:val="none" w:sz="0" w:space="0" w:color="auto"/>
            <w:right w:val="none" w:sz="0" w:space="0" w:color="auto"/>
          </w:divBdr>
        </w:div>
      </w:divsChild>
    </w:div>
    <w:div w:id="1495801594">
      <w:bodyDiv w:val="1"/>
      <w:marLeft w:val="0"/>
      <w:marRight w:val="0"/>
      <w:marTop w:val="0"/>
      <w:marBottom w:val="0"/>
      <w:divBdr>
        <w:top w:val="none" w:sz="0" w:space="0" w:color="auto"/>
        <w:left w:val="none" w:sz="0" w:space="0" w:color="auto"/>
        <w:bottom w:val="none" w:sz="0" w:space="0" w:color="auto"/>
        <w:right w:val="none" w:sz="0" w:space="0" w:color="auto"/>
      </w:divBdr>
      <w:divsChild>
        <w:div w:id="1724788074">
          <w:marLeft w:val="0"/>
          <w:marRight w:val="0"/>
          <w:marTop w:val="0"/>
          <w:marBottom w:val="0"/>
          <w:divBdr>
            <w:top w:val="none" w:sz="0" w:space="0" w:color="auto"/>
            <w:left w:val="none" w:sz="0" w:space="0" w:color="auto"/>
            <w:bottom w:val="none" w:sz="0" w:space="0" w:color="auto"/>
            <w:right w:val="none" w:sz="0" w:space="0" w:color="auto"/>
          </w:divBdr>
        </w:div>
        <w:div w:id="1323924261">
          <w:marLeft w:val="0"/>
          <w:marRight w:val="0"/>
          <w:marTop w:val="0"/>
          <w:marBottom w:val="0"/>
          <w:divBdr>
            <w:top w:val="none" w:sz="0" w:space="0" w:color="auto"/>
            <w:left w:val="none" w:sz="0" w:space="0" w:color="auto"/>
            <w:bottom w:val="none" w:sz="0" w:space="0" w:color="auto"/>
            <w:right w:val="none" w:sz="0" w:space="0" w:color="auto"/>
          </w:divBdr>
        </w:div>
        <w:div w:id="1963073703">
          <w:marLeft w:val="0"/>
          <w:marRight w:val="0"/>
          <w:marTop w:val="0"/>
          <w:marBottom w:val="0"/>
          <w:divBdr>
            <w:top w:val="none" w:sz="0" w:space="0" w:color="auto"/>
            <w:left w:val="none" w:sz="0" w:space="0" w:color="auto"/>
            <w:bottom w:val="none" w:sz="0" w:space="0" w:color="auto"/>
            <w:right w:val="none" w:sz="0" w:space="0" w:color="auto"/>
          </w:divBdr>
        </w:div>
        <w:div w:id="873344718">
          <w:marLeft w:val="0"/>
          <w:marRight w:val="0"/>
          <w:marTop w:val="0"/>
          <w:marBottom w:val="0"/>
          <w:divBdr>
            <w:top w:val="none" w:sz="0" w:space="0" w:color="auto"/>
            <w:left w:val="none" w:sz="0" w:space="0" w:color="auto"/>
            <w:bottom w:val="none" w:sz="0" w:space="0" w:color="auto"/>
            <w:right w:val="none" w:sz="0" w:space="0" w:color="auto"/>
          </w:divBdr>
        </w:div>
        <w:div w:id="5618657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dlaegsseddel.d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EMADOC-1700519818-2424313</_dlc_DocId>
    <_dlc_DocIdUrl xmlns="a034c160-bfb7-45f5-8632-2eb7e0508071">
      <Url>https://euema.sharepoint.com/sites/CRM/_layouts/15/DocIdRedir.aspx?ID=EMADOC-1700519818-2424313</Url>
      <Description>EMADOC-1700519818-2424313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0B6DD5-1741-4B27-AF6C-38F032F4C3E0}"/>
</file>

<file path=customXml/itemProps2.xml><?xml version="1.0" encoding="utf-8"?>
<ds:datastoreItem xmlns:ds="http://schemas.openxmlformats.org/officeDocument/2006/customXml" ds:itemID="{1CF7B832-ED38-43E6-9378-1E5BA8F859A1}">
  <ds:schemaRefs>
    <ds:schemaRef ds:uri="http://schemas.microsoft.com/sharepoint/v3/contenttype/forms"/>
  </ds:schemaRefs>
</ds:datastoreItem>
</file>

<file path=customXml/itemProps3.xml><?xml version="1.0" encoding="utf-8"?>
<ds:datastoreItem xmlns:ds="http://schemas.openxmlformats.org/officeDocument/2006/customXml" ds:itemID="{53889DBA-C2DC-49D5-AF28-69130C57E7CD}">
  <ds:schemaRefs>
    <ds:schemaRef ds:uri="http://schemas.microsoft.com/office/2006/metadata/properties"/>
    <ds:schemaRef ds:uri="http://schemas.microsoft.com/office/infopath/2007/PartnerControls"/>
    <ds:schemaRef ds:uri="e1eef876-2644-4dc2-b8ea-c736ac46ca54"/>
    <ds:schemaRef ds:uri="a4d64e8f-e33f-435d-981f-c49545ae15b0"/>
  </ds:schemaRefs>
</ds:datastoreItem>
</file>

<file path=customXml/itemProps4.xml><?xml version="1.0" encoding="utf-8"?>
<ds:datastoreItem xmlns:ds="http://schemas.openxmlformats.org/officeDocument/2006/customXml" ds:itemID="{3E44D243-C62B-4D25-9C95-FE0DC3D8C59E}">
  <ds:schemaRefs>
    <ds:schemaRef ds:uri="http://schemas.openxmlformats.org/officeDocument/2006/bibliography"/>
  </ds:schemaRefs>
</ds:datastoreItem>
</file>

<file path=customXml/itemProps5.xml><?xml version="1.0" encoding="utf-8"?>
<ds:datastoreItem xmlns:ds="http://schemas.openxmlformats.org/officeDocument/2006/customXml" ds:itemID="{020D3CF5-F9E8-415D-96ED-6BF24BABE794}"/>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73</Pages>
  <Words>26878</Words>
  <Characters>153207</Characters>
  <Application>Microsoft Office Word</Application>
  <DocSecurity>0</DocSecurity>
  <Lines>1276</Lines>
  <Paragraphs>359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2025-02-24T01:58:00Z</dcterms:created>
  <dcterms:modified xsi:type="dcterms:W3CDTF">2025-06-25T07:31:00Z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c4502e1c-da27-40c4-815d-5ac6cb3aa4ea</vt:lpwstr>
  </property>
</Properties>
</file>